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C7" w:rsidRPr="00357BC0" w:rsidRDefault="005029C7" w:rsidP="005029C7">
      <w:pPr>
        <w:tabs>
          <w:tab w:val="center" w:pos="6804"/>
        </w:tabs>
        <w:spacing w:line="500" w:lineRule="exact"/>
        <w:jc w:val="center"/>
        <w:rPr>
          <w:sz w:val="28"/>
        </w:rPr>
      </w:pPr>
      <w:r w:rsidRPr="00357BC0">
        <w:rPr>
          <w:sz w:val="28"/>
        </w:rPr>
        <w:t>KOPRIVNIČKO-KRIŽEVAČKA ŽUPANIJA</w:t>
      </w:r>
    </w:p>
    <w:p w:rsidR="005029C7" w:rsidRPr="00357BC0" w:rsidRDefault="005029C7" w:rsidP="005029C7">
      <w:pPr>
        <w:tabs>
          <w:tab w:val="center" w:pos="6804"/>
        </w:tabs>
        <w:spacing w:line="500" w:lineRule="exact"/>
        <w:jc w:val="center"/>
        <w:rPr>
          <w:sz w:val="28"/>
        </w:rPr>
      </w:pPr>
      <w:r w:rsidRPr="00357BC0">
        <w:rPr>
          <w:sz w:val="28"/>
        </w:rPr>
        <w:t>Upravni odjel za zdravstveno-socijalne djelatnosti</w:t>
      </w: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8"/>
        </w:rPr>
      </w:pP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32"/>
        </w:rPr>
      </w:pPr>
    </w:p>
    <w:p w:rsidR="005029C7" w:rsidRPr="00357BC0" w:rsidRDefault="000623DE" w:rsidP="005029C7">
      <w:pPr>
        <w:pStyle w:val="Tijeloteksta3"/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IZVJEŠĆE</w:t>
      </w:r>
      <w:r w:rsidR="005029C7" w:rsidRPr="00357BC0">
        <w:rPr>
          <w:rFonts w:ascii="Times New Roman" w:hAnsi="Times New Roman"/>
          <w:sz w:val="44"/>
        </w:rPr>
        <w:t xml:space="preserve"> O </w:t>
      </w:r>
      <w:r w:rsidR="00B30745">
        <w:rPr>
          <w:rFonts w:ascii="Times New Roman" w:hAnsi="Times New Roman"/>
          <w:sz w:val="44"/>
        </w:rPr>
        <w:t xml:space="preserve">SUFINANCIRANJU SMJEŠTAJA U PRIVATNIM DOMOVIMA ZA STARIJE I NEMOĆNE OSOBE </w:t>
      </w:r>
      <w:r w:rsidR="005029C7" w:rsidRPr="00357BC0">
        <w:rPr>
          <w:rFonts w:ascii="Times New Roman" w:hAnsi="Times New Roman"/>
          <w:sz w:val="44"/>
        </w:rPr>
        <w:t>U 2020.</w:t>
      </w:r>
      <w:proofErr w:type="gramEnd"/>
      <w:r w:rsidR="005029C7" w:rsidRPr="00357BC0">
        <w:rPr>
          <w:rFonts w:ascii="Times New Roman" w:hAnsi="Times New Roman"/>
          <w:sz w:val="44"/>
        </w:rPr>
        <w:t xml:space="preserve"> GODINI</w:t>
      </w: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5029C7" w:rsidRPr="00357BC0" w:rsidRDefault="005029C7" w:rsidP="005029C7">
      <w:pPr>
        <w:tabs>
          <w:tab w:val="center" w:pos="6804"/>
        </w:tabs>
        <w:spacing w:line="500" w:lineRule="exact"/>
        <w:jc w:val="both"/>
        <w:rPr>
          <w:sz w:val="24"/>
        </w:rPr>
      </w:pPr>
    </w:p>
    <w:p w:rsidR="005029C7" w:rsidRPr="00357BC0" w:rsidRDefault="005029C7" w:rsidP="005029C7">
      <w:pPr>
        <w:spacing w:line="300" w:lineRule="exact"/>
        <w:rPr>
          <w:sz w:val="24"/>
          <w:szCs w:val="24"/>
        </w:rPr>
      </w:pPr>
      <w:r w:rsidRPr="00357BC0">
        <w:rPr>
          <w:sz w:val="24"/>
          <w:szCs w:val="24"/>
        </w:rPr>
        <w:t>KLASA: 550</w:t>
      </w:r>
      <w:r w:rsidR="00B30745">
        <w:rPr>
          <w:sz w:val="24"/>
          <w:szCs w:val="24"/>
        </w:rPr>
        <w:t>-01/21</w:t>
      </w:r>
      <w:r w:rsidRPr="00357BC0">
        <w:rPr>
          <w:sz w:val="24"/>
          <w:szCs w:val="24"/>
        </w:rPr>
        <w:t>-01/</w:t>
      </w:r>
      <w:r w:rsidR="00DC088F">
        <w:rPr>
          <w:sz w:val="24"/>
          <w:szCs w:val="24"/>
        </w:rPr>
        <w:t>152</w:t>
      </w:r>
    </w:p>
    <w:p w:rsidR="005029C7" w:rsidRPr="00357BC0" w:rsidRDefault="005029C7" w:rsidP="005029C7">
      <w:pPr>
        <w:spacing w:line="300" w:lineRule="exact"/>
        <w:rPr>
          <w:sz w:val="24"/>
          <w:szCs w:val="24"/>
        </w:rPr>
      </w:pPr>
      <w:r w:rsidRPr="00357BC0">
        <w:rPr>
          <w:sz w:val="24"/>
          <w:szCs w:val="24"/>
        </w:rPr>
        <w:t>URBROJ: 2137/1-06/02-21</w:t>
      </w:r>
      <w:r w:rsidR="00B30745">
        <w:rPr>
          <w:sz w:val="24"/>
          <w:szCs w:val="24"/>
        </w:rPr>
        <w:t>-</w:t>
      </w:r>
      <w:r w:rsidR="003E23CB">
        <w:rPr>
          <w:sz w:val="24"/>
          <w:szCs w:val="24"/>
        </w:rPr>
        <w:t>1</w:t>
      </w:r>
    </w:p>
    <w:p w:rsidR="005029C7" w:rsidRPr="00357BC0" w:rsidRDefault="005029C7" w:rsidP="005029C7">
      <w:pPr>
        <w:spacing w:line="300" w:lineRule="exact"/>
        <w:rPr>
          <w:sz w:val="24"/>
          <w:szCs w:val="24"/>
        </w:rPr>
      </w:pPr>
    </w:p>
    <w:p w:rsidR="005029C7" w:rsidRPr="00357BC0" w:rsidRDefault="005029C7" w:rsidP="005029C7">
      <w:pPr>
        <w:spacing w:line="300" w:lineRule="exact"/>
        <w:rPr>
          <w:sz w:val="24"/>
          <w:szCs w:val="24"/>
        </w:rPr>
      </w:pPr>
      <w:r w:rsidRPr="00357BC0">
        <w:rPr>
          <w:sz w:val="24"/>
          <w:szCs w:val="24"/>
        </w:rPr>
        <w:t xml:space="preserve">Koprivnica, </w:t>
      </w:r>
      <w:r w:rsidR="00DC088F">
        <w:rPr>
          <w:sz w:val="24"/>
          <w:szCs w:val="24"/>
        </w:rPr>
        <w:t>svibanj</w:t>
      </w:r>
      <w:r w:rsidRPr="00357BC0">
        <w:rPr>
          <w:sz w:val="24"/>
          <w:szCs w:val="24"/>
        </w:rPr>
        <w:t xml:space="preserve"> 2021.</w:t>
      </w:r>
    </w:p>
    <w:p w:rsidR="005029C7" w:rsidRDefault="005029C7" w:rsidP="005029C7">
      <w:pPr>
        <w:spacing w:after="200" w:line="276" w:lineRule="auto"/>
        <w:rPr>
          <w:b/>
          <w:color w:val="FF0000"/>
          <w:sz w:val="24"/>
          <w:szCs w:val="24"/>
        </w:rPr>
      </w:pPr>
      <w:r w:rsidRPr="00357BC0">
        <w:rPr>
          <w:rFonts w:ascii="Arial" w:hAnsi="Arial"/>
          <w:sz w:val="24"/>
        </w:rPr>
        <w:br w:type="page"/>
      </w:r>
    </w:p>
    <w:p w:rsidR="00BF57FA" w:rsidRPr="00657B33" w:rsidRDefault="006D1E2E" w:rsidP="006D1E2E">
      <w:pPr>
        <w:spacing w:line="300" w:lineRule="exact"/>
        <w:ind w:firstLine="708"/>
        <w:jc w:val="both"/>
        <w:rPr>
          <w:b/>
          <w:sz w:val="24"/>
          <w:szCs w:val="24"/>
        </w:rPr>
      </w:pPr>
      <w:r w:rsidRPr="00657B33">
        <w:rPr>
          <w:b/>
          <w:sz w:val="24"/>
          <w:szCs w:val="24"/>
        </w:rPr>
        <w:lastRenderedPageBreak/>
        <w:t>Uvod</w:t>
      </w:r>
    </w:p>
    <w:p w:rsidR="00BF57FA" w:rsidRPr="00657B33" w:rsidRDefault="00BF57FA" w:rsidP="0060133A">
      <w:pPr>
        <w:spacing w:line="300" w:lineRule="exact"/>
        <w:ind w:firstLine="708"/>
        <w:jc w:val="both"/>
        <w:rPr>
          <w:sz w:val="24"/>
          <w:szCs w:val="24"/>
        </w:rPr>
      </w:pPr>
      <w:r w:rsidRPr="00657B33">
        <w:rPr>
          <w:sz w:val="24"/>
          <w:szCs w:val="24"/>
        </w:rPr>
        <w:t>Sve do 2001. godine sustavom skrbi za starije uglavnom se bavila država. Tada u značajnijoj mjeri započinje proces decentralizacije sustava socija</w:t>
      </w:r>
      <w:r w:rsidR="008F3A13" w:rsidRPr="00657B33">
        <w:rPr>
          <w:sz w:val="24"/>
          <w:szCs w:val="24"/>
        </w:rPr>
        <w:t>lne skrbi, između ostalog i onog</w:t>
      </w:r>
      <w:r w:rsidRPr="00657B33">
        <w:rPr>
          <w:sz w:val="24"/>
          <w:szCs w:val="24"/>
        </w:rPr>
        <w:t xml:space="preserve"> segment</w:t>
      </w:r>
      <w:r w:rsidR="008F3A13" w:rsidRPr="00657B33">
        <w:rPr>
          <w:sz w:val="24"/>
          <w:szCs w:val="24"/>
        </w:rPr>
        <w:t>a</w:t>
      </w:r>
      <w:r w:rsidRPr="00657B33">
        <w:rPr>
          <w:sz w:val="24"/>
          <w:szCs w:val="24"/>
        </w:rPr>
        <w:t xml:space="preserve"> koji se odnosi na skrb o starijim osobama.</w:t>
      </w:r>
    </w:p>
    <w:p w:rsidR="00BF57FA" w:rsidRPr="00657B33" w:rsidRDefault="00BF57FA" w:rsidP="00DC088F">
      <w:pPr>
        <w:spacing w:line="300" w:lineRule="exact"/>
        <w:jc w:val="both"/>
        <w:rPr>
          <w:sz w:val="24"/>
          <w:szCs w:val="24"/>
        </w:rPr>
      </w:pPr>
      <w:r w:rsidRPr="00657B33">
        <w:rPr>
          <w:sz w:val="24"/>
          <w:szCs w:val="24"/>
        </w:rPr>
        <w:t xml:space="preserve">Suočeni sa demografskim izazovima, </w:t>
      </w:r>
      <w:r w:rsidR="001F422D" w:rsidRPr="00657B33">
        <w:rPr>
          <w:sz w:val="24"/>
          <w:szCs w:val="24"/>
        </w:rPr>
        <w:t xml:space="preserve">akteri unutar županije shvatili su da je tu skrb potrebno jačati, prvenstveno izvaninstitucionalnim uslugama koje se tada snažno proklamiralo ali za koje se otvarala i mogućnost financiranja iz </w:t>
      </w:r>
      <w:proofErr w:type="spellStart"/>
      <w:r w:rsidR="001F422D" w:rsidRPr="00657B33">
        <w:rPr>
          <w:sz w:val="24"/>
          <w:szCs w:val="24"/>
        </w:rPr>
        <w:t>pre</w:t>
      </w:r>
      <w:r w:rsidR="008F3A13" w:rsidRPr="00657B33">
        <w:rPr>
          <w:sz w:val="24"/>
          <w:szCs w:val="24"/>
        </w:rPr>
        <w:t>t</w:t>
      </w:r>
      <w:r w:rsidR="001F422D" w:rsidRPr="00657B33">
        <w:rPr>
          <w:sz w:val="24"/>
          <w:szCs w:val="24"/>
        </w:rPr>
        <w:t>pristupnih</w:t>
      </w:r>
      <w:proofErr w:type="spellEnd"/>
      <w:r w:rsidR="001F422D" w:rsidRPr="00657B33">
        <w:rPr>
          <w:sz w:val="24"/>
          <w:szCs w:val="24"/>
        </w:rPr>
        <w:t xml:space="preserve"> i pristupnih fondova EU</w:t>
      </w:r>
      <w:r w:rsidR="002B2444" w:rsidRPr="00657B33">
        <w:rPr>
          <w:sz w:val="24"/>
          <w:szCs w:val="24"/>
        </w:rPr>
        <w:t xml:space="preserve"> (što se maksimalno koristilo i koristi)</w:t>
      </w:r>
      <w:r w:rsidR="00666A03" w:rsidRPr="00657B33">
        <w:rPr>
          <w:sz w:val="24"/>
          <w:szCs w:val="24"/>
        </w:rPr>
        <w:t>.</w:t>
      </w:r>
    </w:p>
    <w:p w:rsidR="0039150D" w:rsidRPr="00657B33" w:rsidRDefault="001F422D" w:rsidP="00DC088F">
      <w:pPr>
        <w:spacing w:line="300" w:lineRule="exact"/>
        <w:jc w:val="both"/>
        <w:rPr>
          <w:sz w:val="24"/>
          <w:szCs w:val="24"/>
        </w:rPr>
      </w:pPr>
      <w:r w:rsidRPr="00657B33">
        <w:rPr>
          <w:sz w:val="24"/>
          <w:szCs w:val="24"/>
        </w:rPr>
        <w:t>Među</w:t>
      </w:r>
      <w:r w:rsidR="0039150D" w:rsidRPr="00657B33">
        <w:rPr>
          <w:sz w:val="24"/>
          <w:szCs w:val="24"/>
        </w:rPr>
        <w:t xml:space="preserve">tim i tada se shvaćalo da se tradicionalnu institucionalnu skrb o starijim osobama ne smije zanemariti. Postojale su i tada sasvim konkretne inicijative za izgradnjom “društvenih” domova za starije i nemoćne u Križevcima i Đurđevcu, odnosno depandansama koprivničkog Doma za starije i nemoćne u spomenutim gradovima. </w:t>
      </w:r>
      <w:r w:rsidR="008F3A13" w:rsidRPr="00657B33">
        <w:rPr>
          <w:sz w:val="24"/>
          <w:szCs w:val="24"/>
        </w:rPr>
        <w:t xml:space="preserve">Na tu temu održano je nekoliko sastanaka u Križevcima i Đurđevcu. </w:t>
      </w:r>
      <w:r w:rsidR="0039150D" w:rsidRPr="00657B33">
        <w:rPr>
          <w:sz w:val="24"/>
          <w:szCs w:val="24"/>
        </w:rPr>
        <w:t xml:space="preserve">Nadležni Upravni odjel u nekoliko navrata je Ministarstvu </w:t>
      </w:r>
      <w:r w:rsidR="002B2444" w:rsidRPr="00657B33">
        <w:rPr>
          <w:sz w:val="24"/>
          <w:szCs w:val="24"/>
        </w:rPr>
        <w:t xml:space="preserve">inicirao i </w:t>
      </w:r>
      <w:r w:rsidR="0039150D" w:rsidRPr="00657B33">
        <w:rPr>
          <w:sz w:val="24"/>
          <w:szCs w:val="24"/>
        </w:rPr>
        <w:t>predlagao da se „budući“ križevački i đurđevački domovi za starije  ugrade u „mrežu“ te da tada budu barem u mogućnosti „jednog dana“ sklopiti ugovor s Ministarstvom, odnosno ostvariti državno sufinanciranje. Vezano za to, Župan je inicirao i sastanak u tadašnjem Ministars</w:t>
      </w:r>
      <w:r w:rsidR="00D15260">
        <w:rPr>
          <w:sz w:val="24"/>
          <w:szCs w:val="24"/>
        </w:rPr>
        <w:t>tvu zdravstva i socijalne skrbi</w:t>
      </w:r>
      <w:r w:rsidR="0039150D" w:rsidRPr="00657B33">
        <w:rPr>
          <w:sz w:val="24"/>
          <w:szCs w:val="24"/>
        </w:rPr>
        <w:t xml:space="preserve"> te od državne tajnice dobio informaciju kako to nije moguće, odnosno da Ministarstvo nema namjeru subvencionirati troškove smještaja u ustanovama</w:t>
      </w:r>
      <w:r w:rsidR="005155A9" w:rsidRPr="00657B33">
        <w:rPr>
          <w:sz w:val="24"/>
          <w:szCs w:val="24"/>
        </w:rPr>
        <w:t>/domovima</w:t>
      </w:r>
      <w:r w:rsidR="0039150D" w:rsidRPr="00657B33">
        <w:rPr>
          <w:sz w:val="24"/>
          <w:szCs w:val="24"/>
        </w:rPr>
        <w:t xml:space="preserve"> kojih su osnivači jedinice lokalne i područne (regionalne) samouprave</w:t>
      </w:r>
      <w:r w:rsidR="00666A03" w:rsidRPr="00657B33">
        <w:rPr>
          <w:sz w:val="24"/>
          <w:szCs w:val="24"/>
        </w:rPr>
        <w:t>,</w:t>
      </w:r>
      <w:r w:rsidR="0039150D" w:rsidRPr="00657B33">
        <w:rPr>
          <w:sz w:val="24"/>
          <w:szCs w:val="24"/>
        </w:rPr>
        <w:t xml:space="preserve"> a niti graditi nove domove za starije i nemoćne osobe.</w:t>
      </w:r>
    </w:p>
    <w:p w:rsidR="003A01F0" w:rsidRPr="00657B33" w:rsidRDefault="003A01F0" w:rsidP="00DC088F">
      <w:pPr>
        <w:spacing w:line="300" w:lineRule="exact"/>
        <w:jc w:val="both"/>
        <w:rPr>
          <w:sz w:val="24"/>
          <w:szCs w:val="24"/>
        </w:rPr>
      </w:pPr>
      <w:r w:rsidRPr="00657B33">
        <w:rPr>
          <w:sz w:val="24"/>
          <w:szCs w:val="24"/>
        </w:rPr>
        <w:t xml:space="preserve">Shvaćajući kako u tom pogledu ne može računati na pomoć države/Ministarstva, Županija 2014. godine donosi odluku </w:t>
      </w:r>
      <w:r w:rsidR="002B2444" w:rsidRPr="00657B33">
        <w:rPr>
          <w:sz w:val="24"/>
          <w:szCs w:val="24"/>
        </w:rPr>
        <w:t xml:space="preserve">o sufinanciranju smještaja u </w:t>
      </w:r>
      <w:r w:rsidRPr="00657B33">
        <w:rPr>
          <w:sz w:val="24"/>
          <w:szCs w:val="24"/>
        </w:rPr>
        <w:t>privatne ustanove socijalne skrbi za stari</w:t>
      </w:r>
      <w:r w:rsidR="008F3A13" w:rsidRPr="00657B33">
        <w:rPr>
          <w:sz w:val="24"/>
          <w:szCs w:val="24"/>
        </w:rPr>
        <w:t xml:space="preserve">je i nemoćne osobe držeći da bi </w:t>
      </w:r>
      <w:r w:rsidRPr="00657B33">
        <w:rPr>
          <w:sz w:val="24"/>
          <w:szCs w:val="24"/>
        </w:rPr>
        <w:t xml:space="preserve">ono </w:t>
      </w:r>
      <w:r w:rsidR="008F3A13" w:rsidRPr="00657B33">
        <w:rPr>
          <w:sz w:val="24"/>
          <w:szCs w:val="24"/>
        </w:rPr>
        <w:t xml:space="preserve">moglo </w:t>
      </w:r>
      <w:r w:rsidRPr="00657B33">
        <w:rPr>
          <w:sz w:val="24"/>
          <w:szCs w:val="24"/>
        </w:rPr>
        <w:t xml:space="preserve">biti motivirajući faktor za nove osnivače domova, odnosno doprinijeti jačanju (u usporedbi s drugim regijama, ionako razvijene) privatne inicijative. Njome se </w:t>
      </w:r>
      <w:r w:rsidR="002B2444" w:rsidRPr="00657B33">
        <w:rPr>
          <w:sz w:val="24"/>
          <w:szCs w:val="24"/>
        </w:rPr>
        <w:t xml:space="preserve">istovremeno </w:t>
      </w:r>
      <w:r w:rsidRPr="00657B33">
        <w:rPr>
          <w:sz w:val="24"/>
          <w:szCs w:val="24"/>
        </w:rPr>
        <w:t>nastojala barem ublažiti nepravednost postojećeg sustava za osobe starije životne dobi u kojima država subvencionira troškove smještaja samo osobama smještenim u nekadašnje domove umirovljenika, sada županijske ustanove - domove za starije i nemoćne osobe, koji su u privilegiranom položaju, kako zbog cijene koju plaćaju tako i kvalitete (više razine) usluge koju dobivaju</w:t>
      </w:r>
      <w:r w:rsidR="008F3A13" w:rsidRPr="00657B33">
        <w:rPr>
          <w:sz w:val="24"/>
          <w:szCs w:val="24"/>
        </w:rPr>
        <w:t xml:space="preserve">. Također, njome se nastojalo utjecati i na </w:t>
      </w:r>
      <w:r w:rsidR="002B2444" w:rsidRPr="00657B33">
        <w:rPr>
          <w:sz w:val="24"/>
          <w:szCs w:val="24"/>
        </w:rPr>
        <w:t>n</w:t>
      </w:r>
      <w:r w:rsidRPr="00657B33">
        <w:rPr>
          <w:sz w:val="24"/>
          <w:szCs w:val="24"/>
        </w:rPr>
        <w:t xml:space="preserve">eravnopravan položaj pružatelja usluga </w:t>
      </w:r>
      <w:r w:rsidR="002B2444" w:rsidRPr="00657B33">
        <w:rPr>
          <w:sz w:val="24"/>
          <w:szCs w:val="24"/>
        </w:rPr>
        <w:t xml:space="preserve">koji nisu uspjeli sklopiti ugovor s Ministarstvom i </w:t>
      </w:r>
      <w:r w:rsidRPr="00657B33">
        <w:rPr>
          <w:sz w:val="24"/>
          <w:szCs w:val="24"/>
        </w:rPr>
        <w:t xml:space="preserve">u potpunosti posluju na tržišnim principima-sami određuju cijene usluga i sami ugovaraju smještaj s korisnicima, koji ekonomsku cijenu smještaja plaćaju iz svojih prihoda ili uz pomoć obveznika uzdržavanja. </w:t>
      </w:r>
    </w:p>
    <w:p w:rsidR="00CF20AE" w:rsidRPr="00657B33" w:rsidRDefault="00CF20AE" w:rsidP="0060133A">
      <w:pPr>
        <w:spacing w:line="300" w:lineRule="exact"/>
        <w:ind w:firstLine="708"/>
        <w:jc w:val="both"/>
        <w:rPr>
          <w:sz w:val="24"/>
          <w:szCs w:val="24"/>
        </w:rPr>
      </w:pPr>
    </w:p>
    <w:p w:rsidR="00CF20AE" w:rsidRPr="00657B33" w:rsidRDefault="006D1E2E" w:rsidP="0060133A">
      <w:pPr>
        <w:spacing w:line="300" w:lineRule="exact"/>
        <w:jc w:val="both"/>
        <w:rPr>
          <w:b/>
          <w:sz w:val="24"/>
          <w:szCs w:val="24"/>
        </w:rPr>
      </w:pPr>
      <w:r w:rsidRPr="00657B33">
        <w:rPr>
          <w:b/>
          <w:sz w:val="24"/>
          <w:szCs w:val="24"/>
        </w:rPr>
        <w:t xml:space="preserve">           Način sufinanciranja</w:t>
      </w:r>
    </w:p>
    <w:p w:rsidR="008F3A13" w:rsidRPr="00657B33" w:rsidRDefault="008F3A13" w:rsidP="0060133A">
      <w:pPr>
        <w:spacing w:line="300" w:lineRule="exact"/>
        <w:ind w:left="75" w:firstLine="633"/>
        <w:jc w:val="both"/>
        <w:rPr>
          <w:sz w:val="24"/>
          <w:szCs w:val="24"/>
        </w:rPr>
      </w:pPr>
      <w:r w:rsidRPr="00657B33">
        <w:rPr>
          <w:sz w:val="24"/>
          <w:szCs w:val="24"/>
        </w:rPr>
        <w:t>U razdoblju 2015.-2018.</w:t>
      </w:r>
      <w:r w:rsidR="00517C94" w:rsidRPr="00657B33">
        <w:rPr>
          <w:sz w:val="24"/>
          <w:szCs w:val="24"/>
        </w:rPr>
        <w:t xml:space="preserve"> Odlukom o sufinanciranju bili su pokriveni korisnici smješteni </w:t>
      </w:r>
      <w:r w:rsidRPr="00657B33">
        <w:rPr>
          <w:sz w:val="24"/>
          <w:szCs w:val="24"/>
        </w:rPr>
        <w:t xml:space="preserve"> </w:t>
      </w:r>
      <w:r w:rsidR="00517C94" w:rsidRPr="00657B33">
        <w:rPr>
          <w:sz w:val="24"/>
          <w:szCs w:val="24"/>
        </w:rPr>
        <w:t>u domove sa statusom ustanove pod uvjetom da je u sufinanciranje tih troškova uključena i općina ili grad korisnikovog prebivališta.</w:t>
      </w:r>
      <w:r w:rsidR="00BE5DB5" w:rsidRPr="00657B33">
        <w:rPr>
          <w:sz w:val="24"/>
          <w:szCs w:val="24"/>
        </w:rPr>
        <w:t xml:space="preserve"> Sufinanciranje se</w:t>
      </w:r>
      <w:r w:rsidR="008C2B58" w:rsidRPr="00657B33">
        <w:rPr>
          <w:sz w:val="24"/>
          <w:szCs w:val="24"/>
        </w:rPr>
        <w:t>,</w:t>
      </w:r>
      <w:r w:rsidR="00BE5DB5" w:rsidRPr="00657B33">
        <w:rPr>
          <w:sz w:val="24"/>
          <w:szCs w:val="24"/>
        </w:rPr>
        <w:t xml:space="preserve"> pod uvjetima koje je određivala općina ili grad, odvijalo po principu 50</w:t>
      </w:r>
      <w:r w:rsidR="008C2B58" w:rsidRPr="00657B33">
        <w:rPr>
          <w:sz w:val="24"/>
          <w:szCs w:val="24"/>
        </w:rPr>
        <w:t xml:space="preserve">% </w:t>
      </w:r>
      <w:r w:rsidR="00BE5DB5" w:rsidRPr="00657B33">
        <w:rPr>
          <w:sz w:val="24"/>
          <w:szCs w:val="24"/>
        </w:rPr>
        <w:t>općina/grad – 50% županija.</w:t>
      </w:r>
      <w:r w:rsidR="00517C94" w:rsidRPr="00657B33">
        <w:rPr>
          <w:sz w:val="24"/>
          <w:szCs w:val="24"/>
        </w:rPr>
        <w:t xml:space="preserve"> Ovakvo sufinanciranje nije naišlo na prevelik interes jedinica lokalne samouprave te novoosnovani Savjet za umi</w:t>
      </w:r>
      <w:r w:rsidR="00912833" w:rsidRPr="00657B33">
        <w:rPr>
          <w:sz w:val="24"/>
          <w:szCs w:val="24"/>
        </w:rPr>
        <w:t>ro</w:t>
      </w:r>
      <w:r w:rsidR="00517C94" w:rsidRPr="00657B33">
        <w:rPr>
          <w:sz w:val="24"/>
          <w:szCs w:val="24"/>
        </w:rPr>
        <w:t>vljenike i osobe starije životne dobi</w:t>
      </w:r>
      <w:r w:rsidR="00912833" w:rsidRPr="00657B33">
        <w:rPr>
          <w:sz w:val="24"/>
          <w:szCs w:val="24"/>
        </w:rPr>
        <w:t xml:space="preserve"> s nadležnim Upravnim odjelom osmišljava novi model. U tom novom modelu</w:t>
      </w:r>
      <w:r w:rsidR="003B734F" w:rsidRPr="00657B33">
        <w:rPr>
          <w:sz w:val="24"/>
          <w:szCs w:val="24"/>
        </w:rPr>
        <w:t xml:space="preserve"> koji je inkorporiran u Odluku koju je Županijska skupština donijela  </w:t>
      </w:r>
      <w:r w:rsidR="00C8481A" w:rsidRPr="00657B33">
        <w:rPr>
          <w:sz w:val="24"/>
          <w:szCs w:val="24"/>
        </w:rPr>
        <w:t xml:space="preserve">na 9. sjednici održanoj 28.6.2018. godine </w:t>
      </w:r>
      <w:r w:rsidR="003B734F" w:rsidRPr="00657B33">
        <w:rPr>
          <w:sz w:val="24"/>
          <w:szCs w:val="24"/>
        </w:rPr>
        <w:t>sufinanciranje je prilično „liberalizirano“, olakšano i pojednostavljeno</w:t>
      </w:r>
      <w:r w:rsidR="00C8481A" w:rsidRPr="00657B33">
        <w:rPr>
          <w:sz w:val="24"/>
          <w:szCs w:val="24"/>
        </w:rPr>
        <w:t>,</w:t>
      </w:r>
      <w:r w:rsidR="008C2B58" w:rsidRPr="00657B33">
        <w:rPr>
          <w:sz w:val="24"/>
          <w:szCs w:val="24"/>
        </w:rPr>
        <w:t xml:space="preserve"> </w:t>
      </w:r>
      <w:r w:rsidR="00C8481A" w:rsidRPr="00657B33">
        <w:rPr>
          <w:sz w:val="24"/>
          <w:szCs w:val="24"/>
        </w:rPr>
        <w:t xml:space="preserve"> </w:t>
      </w:r>
      <w:r w:rsidR="008C2B58" w:rsidRPr="00657B33">
        <w:rPr>
          <w:sz w:val="24"/>
          <w:szCs w:val="24"/>
        </w:rPr>
        <w:t>iako zbog ograničenosti raspoloživih proračunskih sredstava i nadalje usmjereno na osobe smještene u domove sa statusom ustanove</w:t>
      </w:r>
      <w:r w:rsidR="003B734F" w:rsidRPr="00657B33">
        <w:rPr>
          <w:sz w:val="24"/>
          <w:szCs w:val="24"/>
        </w:rPr>
        <w:t>.</w:t>
      </w:r>
      <w:r w:rsidR="00564536" w:rsidRPr="00657B33">
        <w:rPr>
          <w:sz w:val="24"/>
          <w:szCs w:val="24"/>
          <w:lang w:val="sv-SE"/>
        </w:rPr>
        <w:t xml:space="preserve"> </w:t>
      </w:r>
      <w:r w:rsidR="00C8481A" w:rsidRPr="00657B33">
        <w:rPr>
          <w:sz w:val="24"/>
          <w:szCs w:val="24"/>
          <w:lang w:val="sv-SE"/>
        </w:rPr>
        <w:t>N</w:t>
      </w:r>
      <w:r w:rsidR="00564536" w:rsidRPr="00657B33">
        <w:rPr>
          <w:sz w:val="24"/>
          <w:szCs w:val="24"/>
          <w:lang w:val="sv-SE"/>
        </w:rPr>
        <w:t xml:space="preserve">a 16. sjednici </w:t>
      </w:r>
      <w:r w:rsidR="00D15260">
        <w:rPr>
          <w:sz w:val="24"/>
          <w:szCs w:val="24"/>
          <w:lang w:val="sv-SE"/>
        </w:rPr>
        <w:t xml:space="preserve">Županijske skupštine </w:t>
      </w:r>
      <w:r w:rsidR="00564536" w:rsidRPr="00657B33">
        <w:rPr>
          <w:sz w:val="24"/>
          <w:szCs w:val="24"/>
          <w:lang w:val="sv-SE"/>
        </w:rPr>
        <w:t>održanoj 2.12.2019. godine</w:t>
      </w:r>
      <w:r w:rsidR="00564536" w:rsidRPr="00657B33">
        <w:rPr>
          <w:sz w:val="24"/>
          <w:szCs w:val="24"/>
          <w:lang w:val="da-DK"/>
        </w:rPr>
        <w:t xml:space="preserve"> </w:t>
      </w:r>
      <w:r w:rsidR="00C8481A" w:rsidRPr="00657B33">
        <w:rPr>
          <w:sz w:val="24"/>
          <w:szCs w:val="24"/>
          <w:lang w:val="sv-SE"/>
        </w:rPr>
        <w:t xml:space="preserve">donesena je </w:t>
      </w:r>
      <w:r w:rsidR="00C8481A" w:rsidRPr="00657B33">
        <w:rPr>
          <w:sz w:val="24"/>
          <w:szCs w:val="24"/>
          <w:lang w:val="sv-SE"/>
        </w:rPr>
        <w:lastRenderedPageBreak/>
        <w:t>Odluka</w:t>
      </w:r>
      <w:r w:rsidR="00564536" w:rsidRPr="00657B33">
        <w:rPr>
          <w:sz w:val="24"/>
          <w:szCs w:val="24"/>
          <w:lang w:val="sv-SE"/>
        </w:rPr>
        <w:t xml:space="preserve"> </w:t>
      </w:r>
      <w:r w:rsidR="00564536" w:rsidRPr="00657B33">
        <w:rPr>
          <w:sz w:val="24"/>
          <w:szCs w:val="24"/>
        </w:rPr>
        <w:t xml:space="preserve">o izmjenama i dopuni Odluke o sufinanciranju troškova smještaja u domove socijalne skrbi za starije i nemoćne osobe. Njome se, od </w:t>
      </w:r>
      <w:r w:rsidR="00C8481A" w:rsidRPr="00657B33">
        <w:rPr>
          <w:sz w:val="24"/>
          <w:szCs w:val="24"/>
        </w:rPr>
        <w:t>početka 2020. započelo</w:t>
      </w:r>
      <w:r w:rsidR="00564536" w:rsidRPr="00657B33">
        <w:rPr>
          <w:sz w:val="24"/>
          <w:szCs w:val="24"/>
        </w:rPr>
        <w:t xml:space="preserve"> sa sufinanciranjem troškova smještaja i u privatnim obiteljskim domovima te domovima pravnih osoba i obrtnika</w:t>
      </w:r>
      <w:r w:rsidR="008C2B58" w:rsidRPr="00657B33">
        <w:rPr>
          <w:sz w:val="24"/>
          <w:szCs w:val="24"/>
        </w:rPr>
        <w:t xml:space="preserve">. </w:t>
      </w:r>
    </w:p>
    <w:p w:rsidR="00564536" w:rsidRPr="00657B33" w:rsidRDefault="00564536" w:rsidP="0060133A">
      <w:pPr>
        <w:spacing w:line="300" w:lineRule="exact"/>
        <w:jc w:val="both"/>
        <w:rPr>
          <w:sz w:val="24"/>
          <w:szCs w:val="24"/>
        </w:rPr>
      </w:pPr>
      <w:r w:rsidRPr="00657B33">
        <w:rPr>
          <w:sz w:val="24"/>
          <w:szCs w:val="24"/>
        </w:rPr>
        <w:t xml:space="preserve">    Pojednostavljeno, novčanu pomoć za sufinanciranje smještaja mogu ostvariti korisnici smješteni u dom koji ispunjavaju tri osnovna uvjeta:</w:t>
      </w:r>
    </w:p>
    <w:p w:rsidR="00564536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-</w:t>
      </w:r>
      <w:r w:rsidR="00564536" w:rsidRPr="00657B33">
        <w:t>imaju prebivalište na području Koprivničko-križevačke županije najmanje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 godina,</w:t>
      </w:r>
    </w:p>
    <w:p w:rsidR="00564536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 xml:space="preserve">- </w:t>
      </w:r>
      <w:r w:rsidR="00564536" w:rsidRPr="00657B33">
        <w:t>nemaju prosječnu mirovinu višu od 3.800,00 kuna (predviđeno je da visina novčane  pomoći  iznosi 400,00 kuna za one s mirovinom do 2.300,00 kuna;  300,00 kuna za one s mirovin</w:t>
      </w:r>
      <w:r w:rsidR="00D15260">
        <w:t>om od 2.300,00 do 3.200,00 kuna</w:t>
      </w:r>
      <w:r w:rsidR="00564536" w:rsidRPr="00657B33">
        <w:t xml:space="preserve"> te 200,00 kuna za one s mirovino</w:t>
      </w:r>
      <w:r w:rsidR="00985678" w:rsidRPr="00657B33">
        <w:t>m od 3.200,00 do 3.800,00 kuna),</w:t>
      </w:r>
    </w:p>
    <w:p w:rsidR="00564536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-</w:t>
      </w:r>
      <w:r w:rsidR="00985678" w:rsidRPr="00657B33">
        <w:t>ne ostvaru</w:t>
      </w:r>
      <w:r w:rsidR="00564536" w:rsidRPr="00657B33">
        <w:t>ju novčanu pomoć, odnosno ne sufinancira im se smještaj od strane nadležnog ministarstva, centra za socijalnu skrb ili po nekoj drugoj osnovi</w:t>
      </w:r>
      <w:r w:rsidR="00985678" w:rsidRPr="00657B33">
        <w:t>.</w:t>
      </w:r>
    </w:p>
    <w:p w:rsidR="008C2B58" w:rsidRPr="00657B33" w:rsidRDefault="00564536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 xml:space="preserve"> </w:t>
      </w:r>
      <w:r w:rsidR="00DC088F" w:rsidRPr="00657B33">
        <w:t xml:space="preserve">    </w:t>
      </w:r>
      <w:r w:rsidR="008C2B58" w:rsidRPr="00657B33">
        <w:t>Kao što je i ranije spomenuto, s</w:t>
      </w:r>
      <w:r w:rsidRPr="00657B33">
        <w:t>ufinanciranje smještaja pokušalo se maksimalno pojednostaviti korisnicima. Tako korisnici podnose samo jedan ili samo prvi zahtjev za novčanu pomoć Županiji (odnosno Upravnom odjelu za zdravstveno-socijalne djelatnosti Koprivničko-križevačke županije</w:t>
      </w:r>
      <w:r w:rsidR="008C2B58" w:rsidRPr="00657B33">
        <w:t>)</w:t>
      </w:r>
      <w:r w:rsidRPr="00657B33">
        <w:t>. Radi jednostavnosti i olakšanja korisnicima, priprem</w:t>
      </w:r>
      <w:r w:rsidR="008C2B58" w:rsidRPr="00657B33">
        <w:t>ljen je</w:t>
      </w:r>
      <w:r w:rsidRPr="00657B33">
        <w:t xml:space="preserve"> obrazac zahtjeva pa ga korisnici ili netko od članova obitelji mogu i ranije popuniti. Uz zahtjev je potrebno priložiti sljedeće:</w:t>
      </w:r>
    </w:p>
    <w:p w:rsidR="008C2B58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-</w:t>
      </w:r>
      <w:r w:rsidR="00564536" w:rsidRPr="00657B33">
        <w:t>kopiju ugovora vezanu za smještaj između doma s jedne strane i korisnika ili članova obitelji s druge strane</w:t>
      </w:r>
      <w:r w:rsidR="00DC088F" w:rsidRPr="00657B33">
        <w:t>,</w:t>
      </w:r>
    </w:p>
    <w:p w:rsidR="008C2B58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-</w:t>
      </w:r>
      <w:r w:rsidR="00564536" w:rsidRPr="00657B33">
        <w:t>zadnju kopiju potvrde o uplaćenom iznosu za smještaj ili potvrdu banke da postoji trajni nalog za plaćanje smještaja ili eventualno nešto treće, ovisno o tome što banka želi/može izdati,</w:t>
      </w:r>
    </w:p>
    <w:p w:rsidR="008C2B58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-</w:t>
      </w:r>
      <w:r w:rsidR="00564536" w:rsidRPr="00657B33">
        <w:t>kopiju osobne iskaznice korisnika,</w:t>
      </w:r>
    </w:p>
    <w:p w:rsidR="008C2B58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-</w:t>
      </w:r>
      <w:r w:rsidR="00564536" w:rsidRPr="00657B33">
        <w:t>uvjerenje o prebivalištu, ali samo ukoliko iz osobne iskaznice nije vidljivo da korisnik ima najmanje 5 godina  prebivalište na području Koprivničko-križevačke županije (ukoliko je to iz osobne iskaznice vidljivo, odnosno radi se o „staroj“ osobnoj iskaznici, uvjerenje nije potrebno)</w:t>
      </w:r>
      <w:r w:rsidR="00985678" w:rsidRPr="00657B33">
        <w:t>,</w:t>
      </w:r>
    </w:p>
    <w:p w:rsidR="008C2B58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-</w:t>
      </w:r>
      <w:r w:rsidR="00564536" w:rsidRPr="00657B33">
        <w:t xml:space="preserve">izjavu o suglasnosti da se daljnji zahtjevi za novčanu pomoć podnose preko doma i da se novčana pomoć isplaćuje na žiro račun doma- </w:t>
      </w:r>
      <w:r w:rsidRPr="00657B33">
        <w:t xml:space="preserve">pripremljen je </w:t>
      </w:r>
      <w:r w:rsidR="00564536" w:rsidRPr="00657B33">
        <w:t>obrazac za ovu suglasnost</w:t>
      </w:r>
      <w:r w:rsidR="00985678" w:rsidRPr="00657B33">
        <w:t>,</w:t>
      </w:r>
      <w:r w:rsidR="00564536" w:rsidRPr="00657B33">
        <w:t xml:space="preserve"> </w:t>
      </w:r>
    </w:p>
    <w:p w:rsidR="00CF20AE" w:rsidRPr="00657B33" w:rsidRDefault="008C2B58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-</w:t>
      </w:r>
      <w:r w:rsidR="00564536" w:rsidRPr="00657B33">
        <w:t>izjavu o suglasnosti/privoli da nadležni Upravni odjel i dom  prikupljaju, koriste i razmjenjuju osobne podatke neophodne za dodjelu i isplatu novčane pomoći-</w:t>
      </w:r>
      <w:r w:rsidR="00CF20AE" w:rsidRPr="00657B33">
        <w:t xml:space="preserve"> pripremljen je obrazac</w:t>
      </w:r>
      <w:r w:rsidR="0060133A" w:rsidRPr="00657B33">
        <w:t xml:space="preserve"> za ovu suglasnost.</w:t>
      </w:r>
    </w:p>
    <w:p w:rsidR="0060133A" w:rsidRPr="00657B33" w:rsidRDefault="0060133A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S poreznom potvrdom ne opterećuje se stranke, već uvid u porezne podatke, iz kojih je vidljiva i visina mirovine, izvršavaju službenici Upravnog odjela.</w:t>
      </w:r>
    </w:p>
    <w:p w:rsidR="00564536" w:rsidRPr="00657B33" w:rsidRDefault="00CF20AE" w:rsidP="0060133A">
      <w:pPr>
        <w:pStyle w:val="StandardWeb"/>
        <w:spacing w:before="0" w:beforeAutospacing="0" w:after="0" w:afterAutospacing="0" w:line="300" w:lineRule="exact"/>
        <w:jc w:val="both"/>
      </w:pPr>
      <w:r w:rsidRPr="00657B33">
        <w:t>Korisnicima (najčešće članovima njihovih obitelji) omogućeno je da z</w:t>
      </w:r>
      <w:r w:rsidR="00564536" w:rsidRPr="00657B33">
        <w:t xml:space="preserve">ahtjev i ostalu potrebnu dokumentaciju </w:t>
      </w:r>
      <w:r w:rsidRPr="00657B33">
        <w:t>pošalju preko doma e-</w:t>
      </w:r>
      <w:proofErr w:type="spellStart"/>
      <w:r w:rsidRPr="00657B33">
        <w:t>mailom</w:t>
      </w:r>
      <w:proofErr w:type="spellEnd"/>
      <w:r w:rsidRPr="00657B33">
        <w:t xml:space="preserve"> skenirane, a ako žele</w:t>
      </w:r>
      <w:r w:rsidR="00DC088F" w:rsidRPr="00657B33">
        <w:t>, mogu</w:t>
      </w:r>
      <w:r w:rsidRPr="00657B33">
        <w:t xml:space="preserve"> ih </w:t>
      </w:r>
      <w:r w:rsidR="00564536" w:rsidRPr="00657B33">
        <w:t xml:space="preserve">poslati poštom, osobno </w:t>
      </w:r>
      <w:r w:rsidRPr="00657B33">
        <w:t xml:space="preserve">ili preko posrednika </w:t>
      </w:r>
      <w:r w:rsidR="00564536" w:rsidRPr="00657B33">
        <w:t xml:space="preserve">donijeti u Upravni odjel </w:t>
      </w:r>
      <w:r w:rsidR="008772CA" w:rsidRPr="00657B33">
        <w:t>(</w:t>
      </w:r>
      <w:r w:rsidR="00564536" w:rsidRPr="00657B33">
        <w:t>a</w:t>
      </w:r>
      <w:r w:rsidRPr="00657B33">
        <w:t xml:space="preserve">li i </w:t>
      </w:r>
      <w:r w:rsidR="008772CA" w:rsidRPr="00657B33">
        <w:t xml:space="preserve">sami </w:t>
      </w:r>
      <w:r w:rsidRPr="00657B33">
        <w:t>poslati elektronskom poštom</w:t>
      </w:r>
      <w:r w:rsidR="008772CA" w:rsidRPr="00657B33">
        <w:t>).</w:t>
      </w:r>
    </w:p>
    <w:p w:rsidR="00B30745" w:rsidRPr="00657B33" w:rsidRDefault="00564536" w:rsidP="0060133A">
      <w:pPr>
        <w:spacing w:line="300" w:lineRule="exact"/>
        <w:rPr>
          <w:sz w:val="24"/>
          <w:szCs w:val="24"/>
        </w:rPr>
      </w:pPr>
      <w:r w:rsidRPr="00657B33">
        <w:rPr>
          <w:sz w:val="24"/>
          <w:szCs w:val="24"/>
        </w:rPr>
        <w:t>Da bi se ovakvo sufinanciranje moglo odvijati</w:t>
      </w:r>
      <w:r w:rsidR="00D15260">
        <w:rPr>
          <w:sz w:val="24"/>
          <w:szCs w:val="24"/>
        </w:rPr>
        <w:t>,</w:t>
      </w:r>
      <w:r w:rsidRPr="00657B33">
        <w:rPr>
          <w:sz w:val="24"/>
          <w:szCs w:val="24"/>
        </w:rPr>
        <w:t xml:space="preserve"> Županija </w:t>
      </w:r>
      <w:r w:rsidR="00F1300F" w:rsidRPr="00657B33">
        <w:rPr>
          <w:sz w:val="24"/>
          <w:szCs w:val="24"/>
        </w:rPr>
        <w:t>je s 26</w:t>
      </w:r>
      <w:r w:rsidR="008772CA" w:rsidRPr="00657B33">
        <w:rPr>
          <w:sz w:val="24"/>
          <w:szCs w:val="24"/>
        </w:rPr>
        <w:t xml:space="preserve"> </w:t>
      </w:r>
      <w:r w:rsidRPr="00657B33">
        <w:rPr>
          <w:sz w:val="24"/>
          <w:szCs w:val="24"/>
        </w:rPr>
        <w:t>dom</w:t>
      </w:r>
      <w:r w:rsidR="00F1300F" w:rsidRPr="00657B33">
        <w:rPr>
          <w:sz w:val="24"/>
          <w:szCs w:val="24"/>
        </w:rPr>
        <w:t>ova</w:t>
      </w:r>
      <w:r w:rsidRPr="00657B33">
        <w:rPr>
          <w:sz w:val="24"/>
          <w:szCs w:val="24"/>
        </w:rPr>
        <w:t xml:space="preserve"> </w:t>
      </w:r>
      <w:r w:rsidR="008772CA" w:rsidRPr="00657B33">
        <w:rPr>
          <w:sz w:val="24"/>
          <w:szCs w:val="24"/>
        </w:rPr>
        <w:t>sklopila</w:t>
      </w:r>
      <w:r w:rsidRPr="00657B33">
        <w:rPr>
          <w:sz w:val="24"/>
          <w:szCs w:val="24"/>
        </w:rPr>
        <w:t xml:space="preserve"> ugovor o međusobnim odnosima</w:t>
      </w:r>
      <w:r w:rsidR="00D15260">
        <w:rPr>
          <w:sz w:val="24"/>
          <w:szCs w:val="24"/>
        </w:rPr>
        <w:t xml:space="preserve"> oko sufinanciranja troškova smještaja</w:t>
      </w:r>
      <w:r w:rsidRPr="00657B33">
        <w:rPr>
          <w:sz w:val="24"/>
          <w:szCs w:val="24"/>
        </w:rPr>
        <w:t xml:space="preserve">. </w:t>
      </w:r>
    </w:p>
    <w:p w:rsidR="00B30745" w:rsidRPr="00657B33" w:rsidRDefault="00B30745" w:rsidP="0060133A">
      <w:pPr>
        <w:spacing w:line="300" w:lineRule="exact"/>
        <w:rPr>
          <w:sz w:val="24"/>
          <w:szCs w:val="24"/>
        </w:rPr>
      </w:pPr>
    </w:p>
    <w:p w:rsidR="00B30745" w:rsidRPr="00657B33" w:rsidRDefault="00B30745" w:rsidP="0060133A">
      <w:pPr>
        <w:spacing w:line="300" w:lineRule="exact"/>
        <w:rPr>
          <w:sz w:val="24"/>
          <w:szCs w:val="24"/>
        </w:rPr>
      </w:pPr>
    </w:p>
    <w:p w:rsidR="00B30745" w:rsidRPr="00657B33" w:rsidRDefault="00B30745" w:rsidP="0060133A">
      <w:pPr>
        <w:spacing w:line="300" w:lineRule="exact"/>
        <w:rPr>
          <w:sz w:val="24"/>
          <w:szCs w:val="24"/>
        </w:rPr>
      </w:pPr>
    </w:p>
    <w:p w:rsidR="00B30745" w:rsidRPr="00657B33" w:rsidRDefault="00B30745" w:rsidP="0060133A">
      <w:pPr>
        <w:spacing w:line="300" w:lineRule="exact"/>
        <w:rPr>
          <w:sz w:val="24"/>
          <w:szCs w:val="24"/>
        </w:rPr>
      </w:pPr>
    </w:p>
    <w:p w:rsidR="00B30745" w:rsidRPr="00657B33" w:rsidRDefault="00B30745" w:rsidP="0060133A">
      <w:pPr>
        <w:spacing w:line="300" w:lineRule="exact"/>
        <w:rPr>
          <w:sz w:val="24"/>
          <w:szCs w:val="24"/>
        </w:rPr>
      </w:pPr>
    </w:p>
    <w:p w:rsidR="005029C7" w:rsidRPr="00657B33" w:rsidRDefault="005029C7" w:rsidP="0060133A">
      <w:pPr>
        <w:spacing w:line="300" w:lineRule="exact"/>
        <w:rPr>
          <w:b/>
          <w:sz w:val="24"/>
          <w:szCs w:val="24"/>
        </w:rPr>
      </w:pPr>
      <w:r w:rsidRPr="00657B33">
        <w:rPr>
          <w:b/>
          <w:sz w:val="24"/>
          <w:szCs w:val="24"/>
        </w:rPr>
        <w:t>Podaci o sufinanciranju za 2020.</w:t>
      </w:r>
    </w:p>
    <w:p w:rsidR="00B30745" w:rsidRPr="00657B33" w:rsidRDefault="00B30745" w:rsidP="0060133A">
      <w:pPr>
        <w:spacing w:line="300" w:lineRule="exact"/>
        <w:rPr>
          <w:sz w:val="24"/>
          <w:szCs w:val="24"/>
        </w:rPr>
      </w:pPr>
    </w:p>
    <w:p w:rsidR="003E514A" w:rsidRPr="00B30745" w:rsidRDefault="005029C7">
      <w:pPr>
        <w:rPr>
          <w:sz w:val="24"/>
          <w:szCs w:val="24"/>
        </w:rPr>
      </w:pPr>
      <w:r w:rsidRPr="00B30745">
        <w:rPr>
          <w:sz w:val="24"/>
          <w:szCs w:val="24"/>
        </w:rPr>
        <w:t>Tablica Broj osoba kojima se sufinancirao smještaj po domovima i iznos isplaćenih naknada</w:t>
      </w:r>
    </w:p>
    <w:tbl>
      <w:tblPr>
        <w:tblW w:w="9221" w:type="dxa"/>
        <w:tblInd w:w="95" w:type="dxa"/>
        <w:tblLook w:val="04A0"/>
      </w:tblPr>
      <w:tblGrid>
        <w:gridCol w:w="2729"/>
        <w:gridCol w:w="1949"/>
        <w:gridCol w:w="1707"/>
        <w:gridCol w:w="1649"/>
        <w:gridCol w:w="236"/>
        <w:gridCol w:w="236"/>
        <w:gridCol w:w="222"/>
        <w:gridCol w:w="236"/>
        <w:gridCol w:w="257"/>
      </w:tblGrid>
      <w:tr w:rsidR="00D72B3B" w:rsidRPr="00D72B3B" w:rsidTr="0082213D">
        <w:trPr>
          <w:gridAfter w:val="5"/>
          <w:wAfter w:w="1187" w:type="dxa"/>
          <w:trHeight w:val="3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C00000"/>
              <w:bottom w:val="nil"/>
              <w:right w:val="single" w:sz="4" w:space="0" w:color="C00000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B3B" w:rsidRPr="00D72B3B" w:rsidTr="009B6B7F">
        <w:trPr>
          <w:gridAfter w:val="5"/>
          <w:wAfter w:w="1187" w:type="dxa"/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Domovi</w:t>
            </w:r>
            <w:r>
              <w:rPr>
                <w:color w:val="000000"/>
                <w:sz w:val="22"/>
                <w:szCs w:val="22"/>
              </w:rPr>
              <w:t xml:space="preserve"> po kategorijama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Broj osoba kojima se sufinancira smještaj na dan 30.6.2020</w:t>
            </w:r>
            <w:r w:rsidR="004313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nil"/>
              <w:left w:val="single" w:sz="4" w:space="0" w:color="C00000"/>
              <w:bottom w:val="single" w:sz="4" w:space="0" w:color="auto"/>
              <w:right w:val="single" w:sz="4" w:space="0" w:color="C00000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Broj osoba kojima se sufinancira smještaj na dan 31.12.2020.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Iznos isplaćenih naknada tijekom 2020.</w:t>
            </w:r>
          </w:p>
        </w:tc>
      </w:tr>
      <w:tr w:rsidR="009B6B7F" w:rsidRPr="00D72B3B" w:rsidTr="005936F3">
        <w:trPr>
          <w:gridAfter w:val="5"/>
          <w:wAfter w:w="1187" w:type="dxa"/>
          <w:trHeight w:val="315"/>
        </w:trPr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7F" w:rsidRPr="009B6B7F" w:rsidRDefault="009B6B7F" w:rsidP="009B6B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B3B">
              <w:rPr>
                <w:b/>
                <w:bCs/>
                <w:color w:val="000000"/>
                <w:sz w:val="22"/>
                <w:szCs w:val="22"/>
              </w:rPr>
              <w:t>1. Ustanove</w:t>
            </w: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B3B" w:rsidRPr="00D72B3B" w:rsidTr="009B6B7F">
        <w:trPr>
          <w:gridAfter w:val="5"/>
          <w:wAfter w:w="1187" w:type="dxa"/>
          <w:trHeight w:val="3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Dom za starije i nemoćne osobe „Dom sestre Jadranke“,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Čabraji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</w:t>
            </w:r>
            <w:r w:rsidR="006848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117.864,78</w:t>
            </w:r>
          </w:p>
        </w:tc>
      </w:tr>
      <w:tr w:rsidR="00D72B3B" w:rsidRPr="00D72B3B" w:rsidTr="0082213D">
        <w:trPr>
          <w:gridAfter w:val="5"/>
          <w:wAfter w:w="1187" w:type="dxa"/>
          <w:trHeight w:val="465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82213D">
        <w:trPr>
          <w:gridAfter w:val="5"/>
          <w:wAfter w:w="1187" w:type="dxa"/>
          <w:trHeight w:val="253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82213D">
        <w:trPr>
          <w:gridAfter w:val="5"/>
          <w:wAfter w:w="1187" w:type="dxa"/>
          <w:trHeight w:val="30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B30745">
        <w:trPr>
          <w:gridAfter w:val="5"/>
          <w:wAfter w:w="1187" w:type="dxa"/>
          <w:trHeight w:val="253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82213D">
        <w:trPr>
          <w:gridAfter w:val="5"/>
          <w:wAfter w:w="1187" w:type="dxa"/>
          <w:trHeight w:val="300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Dom za starije i nemoćne osobe „Sveta Ana“ , Koprivnica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993366"/>
              <w:bottom w:val="single" w:sz="8" w:space="0" w:color="993366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</w:t>
            </w:r>
            <w:r w:rsidR="006848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993366"/>
              <w:bottom w:val="single" w:sz="8" w:space="0" w:color="993366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63.065,11</w:t>
            </w:r>
          </w:p>
        </w:tc>
      </w:tr>
      <w:tr w:rsidR="00D72B3B" w:rsidRPr="00D72B3B" w:rsidTr="0082213D">
        <w:trPr>
          <w:gridAfter w:val="5"/>
          <w:wAfter w:w="1187" w:type="dxa"/>
          <w:trHeight w:val="30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82213D">
        <w:trPr>
          <w:gridAfter w:val="5"/>
          <w:wAfter w:w="1187" w:type="dxa"/>
          <w:trHeight w:val="253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D72B3B">
        <w:trPr>
          <w:gridAfter w:val="5"/>
          <w:wAfter w:w="1187" w:type="dxa"/>
          <w:trHeight w:val="3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Dom za starije i nemoćne odrasle osobe Dom Novak 1, Križevci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</w:t>
            </w:r>
            <w:r w:rsidR="006848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87.168,02</w:t>
            </w:r>
          </w:p>
        </w:tc>
      </w:tr>
      <w:tr w:rsidR="00D72B3B" w:rsidRPr="00D72B3B" w:rsidTr="00D72B3B">
        <w:trPr>
          <w:gridAfter w:val="5"/>
          <w:wAfter w:w="1187" w:type="dxa"/>
          <w:trHeight w:val="300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D72B3B">
        <w:trPr>
          <w:gridAfter w:val="5"/>
          <w:wAfter w:w="1187" w:type="dxa"/>
          <w:trHeight w:val="253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82213D">
        <w:trPr>
          <w:gridAfter w:val="5"/>
          <w:wAfter w:w="1187" w:type="dxa"/>
          <w:trHeight w:val="6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00000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Dom za starije i teško bolesne osobe Senior Care, Križevci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nil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</w:t>
            </w:r>
            <w:r w:rsidR="006848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54.406,06</w:t>
            </w:r>
          </w:p>
        </w:tc>
      </w:tr>
      <w:tr w:rsidR="00D72B3B" w:rsidRPr="00D72B3B" w:rsidTr="0082213D">
        <w:trPr>
          <w:gridAfter w:val="5"/>
          <w:wAfter w:w="1187" w:type="dxa"/>
          <w:trHeight w:val="253"/>
        </w:trPr>
        <w:tc>
          <w:tcPr>
            <w:tcW w:w="2729" w:type="dxa"/>
            <w:vMerge/>
            <w:tcBorders>
              <w:top w:val="single" w:sz="4" w:space="0" w:color="C00000"/>
              <w:left w:val="single" w:sz="4" w:space="0" w:color="auto"/>
              <w:bottom w:val="nil"/>
              <w:right w:val="single" w:sz="4" w:space="0" w:color="C00000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nil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nil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82213D">
        <w:trPr>
          <w:gridAfter w:val="5"/>
          <w:wAfter w:w="1187" w:type="dxa"/>
          <w:trHeight w:val="570"/>
        </w:trPr>
        <w:tc>
          <w:tcPr>
            <w:tcW w:w="2729" w:type="dxa"/>
            <w:vMerge w:val="restart"/>
            <w:tcBorders>
              <w:top w:val="single" w:sz="4" w:space="0" w:color="C00000"/>
              <w:left w:val="single" w:sz="4" w:space="0" w:color="auto"/>
              <w:bottom w:val="single" w:sz="4" w:space="0" w:color="C00000"/>
              <w:right w:val="single" w:sz="4" w:space="0" w:color="C00000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Dom baka Ilona-dom za starije i nemoćne, Koprivnica</w:t>
            </w:r>
          </w:p>
        </w:tc>
        <w:tc>
          <w:tcPr>
            <w:tcW w:w="1949" w:type="dxa"/>
            <w:vMerge w:val="restart"/>
            <w:tcBorders>
              <w:top w:val="single" w:sz="4" w:space="0" w:color="C00000"/>
              <w:left w:val="single" w:sz="8" w:space="0" w:color="993366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7" w:type="dxa"/>
            <w:vMerge w:val="restart"/>
            <w:tcBorders>
              <w:top w:val="single" w:sz="4" w:space="0" w:color="C00000"/>
              <w:left w:val="single" w:sz="8" w:space="0" w:color="993366"/>
              <w:bottom w:val="nil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</w:t>
            </w:r>
            <w:r w:rsidR="006848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C00000"/>
              <w:left w:val="single" w:sz="8" w:space="0" w:color="993366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46.179,99</w:t>
            </w:r>
          </w:p>
        </w:tc>
      </w:tr>
      <w:tr w:rsidR="00D72B3B" w:rsidRPr="00D72B3B" w:rsidTr="0082213D">
        <w:trPr>
          <w:gridAfter w:val="5"/>
          <w:wAfter w:w="1187" w:type="dxa"/>
          <w:trHeight w:val="253"/>
        </w:trPr>
        <w:tc>
          <w:tcPr>
            <w:tcW w:w="2729" w:type="dxa"/>
            <w:vMerge/>
            <w:tcBorders>
              <w:top w:val="single" w:sz="4" w:space="0" w:color="C00000"/>
              <w:left w:val="single" w:sz="4" w:space="0" w:color="auto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C00000"/>
              <w:left w:val="single" w:sz="8" w:space="0" w:color="993366"/>
              <w:bottom w:val="nil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C00000"/>
              <w:left w:val="single" w:sz="8" w:space="0" w:color="993366"/>
              <w:bottom w:val="nil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C00000"/>
              <w:left w:val="single" w:sz="8" w:space="0" w:color="993366"/>
              <w:bottom w:val="nil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2B3B" w:rsidRPr="00D72B3B" w:rsidTr="0082213D">
        <w:trPr>
          <w:gridAfter w:val="5"/>
          <w:wAfter w:w="1187" w:type="dxa"/>
          <w:trHeight w:val="315"/>
        </w:trPr>
        <w:tc>
          <w:tcPr>
            <w:tcW w:w="2729" w:type="dxa"/>
            <w:tcBorders>
              <w:top w:val="single" w:sz="4" w:space="0" w:color="C00000"/>
              <w:left w:val="single" w:sz="4" w:space="0" w:color="auto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D72B3B">
            <w:pPr>
              <w:rPr>
                <w:b/>
                <w:bCs/>
                <w:sz w:val="24"/>
                <w:szCs w:val="24"/>
              </w:rPr>
            </w:pPr>
            <w:r w:rsidRPr="00D72B3B">
              <w:rPr>
                <w:b/>
                <w:bCs/>
                <w:sz w:val="24"/>
                <w:szCs w:val="24"/>
              </w:rPr>
              <w:t>Ukupno 1</w:t>
            </w:r>
          </w:p>
        </w:tc>
        <w:tc>
          <w:tcPr>
            <w:tcW w:w="1949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8</w:t>
            </w:r>
            <w:r w:rsidR="00E740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9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368.683,96</w:t>
            </w:r>
          </w:p>
        </w:tc>
      </w:tr>
      <w:tr w:rsidR="001541FF" w:rsidRPr="00D72B3B" w:rsidTr="00985678">
        <w:trPr>
          <w:trHeight w:val="300"/>
        </w:trPr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FF" w:rsidRDefault="001541FF" w:rsidP="00154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D72B3B">
              <w:rPr>
                <w:b/>
                <w:bCs/>
                <w:color w:val="000000"/>
                <w:sz w:val="24"/>
                <w:szCs w:val="24"/>
              </w:rPr>
              <w:t xml:space="preserve">Domovi pravnih osoba i obrta (nisu ustanove) za smještaj </w:t>
            </w:r>
          </w:p>
          <w:p w:rsidR="001541FF" w:rsidRPr="00D72B3B" w:rsidRDefault="001541FF" w:rsidP="001541FF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b/>
                <w:bCs/>
                <w:color w:val="000000"/>
                <w:sz w:val="24"/>
                <w:szCs w:val="24"/>
              </w:rPr>
              <w:t>starijih i nemoćnih osoba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541FF" w:rsidRPr="00D72B3B" w:rsidRDefault="001541FF" w:rsidP="00D72B3B"/>
        </w:tc>
        <w:tc>
          <w:tcPr>
            <w:tcW w:w="236" w:type="dxa"/>
            <w:vAlign w:val="center"/>
            <w:hideMark/>
          </w:tcPr>
          <w:p w:rsidR="001541FF" w:rsidRPr="00D72B3B" w:rsidRDefault="001541FF" w:rsidP="00D72B3B"/>
        </w:tc>
        <w:tc>
          <w:tcPr>
            <w:tcW w:w="222" w:type="dxa"/>
            <w:vAlign w:val="center"/>
            <w:hideMark/>
          </w:tcPr>
          <w:p w:rsidR="001541FF" w:rsidRPr="00D72B3B" w:rsidRDefault="001541FF" w:rsidP="00D72B3B"/>
        </w:tc>
        <w:tc>
          <w:tcPr>
            <w:tcW w:w="236" w:type="dxa"/>
            <w:vAlign w:val="center"/>
            <w:hideMark/>
          </w:tcPr>
          <w:p w:rsidR="001541FF" w:rsidRPr="00D72B3B" w:rsidRDefault="001541FF" w:rsidP="00D72B3B"/>
        </w:tc>
        <w:tc>
          <w:tcPr>
            <w:tcW w:w="257" w:type="dxa"/>
            <w:vAlign w:val="center"/>
            <w:hideMark/>
          </w:tcPr>
          <w:p w:rsidR="001541FF" w:rsidRPr="00D72B3B" w:rsidRDefault="001541FF" w:rsidP="00D72B3B"/>
        </w:tc>
      </w:tr>
      <w:tr w:rsidR="00D72B3B" w:rsidRPr="00D72B3B" w:rsidTr="00D72B3B">
        <w:trPr>
          <w:trHeight w:val="240"/>
        </w:trPr>
        <w:tc>
          <w:tcPr>
            <w:tcW w:w="2729" w:type="dxa"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Dom „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Stanešić</w:t>
            </w:r>
            <w:proofErr w:type="spellEnd"/>
            <w:r w:rsidRPr="00D72B3B">
              <w:rPr>
                <w:color w:val="000000"/>
                <w:sz w:val="22"/>
                <w:szCs w:val="22"/>
              </w:rPr>
              <w:t>“ d.o.o.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56.453,33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Virje</w:t>
            </w: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91568">
        <w:trPr>
          <w:trHeight w:val="50"/>
        </w:trPr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single" w:sz="4" w:space="0" w:color="C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Dom Baljak d.o.o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45.</w:t>
            </w:r>
            <w:r w:rsidR="0060002E">
              <w:rPr>
                <w:color w:val="000000"/>
                <w:sz w:val="22"/>
                <w:szCs w:val="22"/>
              </w:rPr>
              <w:t>054,93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Novigrad Podravski</w:t>
            </w: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7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Dom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Capek</w:t>
            </w:r>
            <w:proofErr w:type="spellEnd"/>
            <w:r w:rsidRPr="00D72B3B">
              <w:rPr>
                <w:color w:val="000000"/>
                <w:sz w:val="22"/>
                <w:szCs w:val="22"/>
              </w:rPr>
              <w:t xml:space="preserve"> d.o.o.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7.380,64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2B3B">
              <w:rPr>
                <w:color w:val="000000"/>
                <w:sz w:val="22"/>
                <w:szCs w:val="22"/>
              </w:rPr>
              <w:t>Štaglinec</w:t>
            </w:r>
            <w:proofErr w:type="spellEnd"/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12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6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MAXI, obrt za poljoprivredu i socijalnu skrb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31.192,62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2B3B">
              <w:rPr>
                <w:color w:val="000000"/>
                <w:sz w:val="22"/>
                <w:szCs w:val="22"/>
              </w:rPr>
              <w:t>vl</w:t>
            </w:r>
            <w:proofErr w:type="spellEnd"/>
            <w:r w:rsidRPr="00D72B3B">
              <w:rPr>
                <w:color w:val="000000"/>
                <w:sz w:val="22"/>
                <w:szCs w:val="22"/>
              </w:rPr>
              <w:t xml:space="preserve">. Zdenko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Maksić</w:t>
            </w:r>
            <w:proofErr w:type="spellEnd"/>
            <w:r w:rsidRPr="00D72B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Cubinec</w:t>
            </w:r>
            <w:proofErr w:type="spellEnd"/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9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lastRenderedPageBreak/>
              <w:t xml:space="preserve">Obrt za socijalnu skrb „Obiteljski dom Šolaja“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vl</w:t>
            </w:r>
            <w:proofErr w:type="spellEnd"/>
            <w:r w:rsidRPr="00D72B3B">
              <w:rPr>
                <w:color w:val="000000"/>
                <w:sz w:val="22"/>
                <w:szCs w:val="22"/>
              </w:rPr>
              <w:t>. Valentina Šolaja, Novi Glog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5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2B3B" w:rsidRPr="00D72B3B" w:rsidRDefault="00D72B3B" w:rsidP="00D72B3B">
            <w:pPr>
              <w:rPr>
                <w:color w:val="000000"/>
                <w:sz w:val="24"/>
                <w:szCs w:val="24"/>
              </w:rPr>
            </w:pPr>
            <w:r w:rsidRPr="00D72B3B">
              <w:rPr>
                <w:color w:val="000000"/>
                <w:sz w:val="24"/>
                <w:szCs w:val="24"/>
              </w:rPr>
              <w:t>Baljak 2 j.d.o.o., Virje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2.670,96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15"/>
        </w:trPr>
        <w:tc>
          <w:tcPr>
            <w:tcW w:w="2729" w:type="dxa"/>
            <w:tcBorders>
              <w:top w:val="single" w:sz="4" w:space="0" w:color="C00000"/>
              <w:left w:val="single" w:sz="4" w:space="0" w:color="auto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D72B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B3B">
              <w:rPr>
                <w:b/>
                <w:bCs/>
                <w:color w:val="000000"/>
                <w:sz w:val="24"/>
                <w:szCs w:val="24"/>
              </w:rPr>
              <w:t>Ukupno 2</w:t>
            </w:r>
          </w:p>
        </w:tc>
        <w:tc>
          <w:tcPr>
            <w:tcW w:w="1949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9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152.</w:t>
            </w:r>
            <w:r w:rsidR="00E740EE">
              <w:rPr>
                <w:color w:val="000000"/>
                <w:sz w:val="22"/>
                <w:szCs w:val="22"/>
              </w:rPr>
              <w:t>252,48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9B6B7F" w:rsidRPr="00D72B3B" w:rsidTr="00C02C11">
        <w:trPr>
          <w:trHeight w:val="300"/>
        </w:trPr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7F" w:rsidRPr="009B6B7F" w:rsidRDefault="009B6B7F" w:rsidP="009B6B7F">
            <w:pPr>
              <w:rPr>
                <w:b/>
                <w:color w:val="000000"/>
                <w:sz w:val="22"/>
                <w:szCs w:val="22"/>
              </w:rPr>
            </w:pPr>
            <w:r w:rsidRPr="009B6B7F">
              <w:rPr>
                <w:b/>
                <w:color w:val="000000"/>
                <w:sz w:val="22"/>
                <w:szCs w:val="22"/>
              </w:rPr>
              <w:t>3. Obiteljski domovi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6B7F" w:rsidRPr="00D72B3B" w:rsidRDefault="009B6B7F" w:rsidP="00D72B3B"/>
        </w:tc>
        <w:tc>
          <w:tcPr>
            <w:tcW w:w="236" w:type="dxa"/>
            <w:vAlign w:val="center"/>
            <w:hideMark/>
          </w:tcPr>
          <w:p w:rsidR="009B6B7F" w:rsidRPr="00D72B3B" w:rsidRDefault="009B6B7F" w:rsidP="00D72B3B"/>
        </w:tc>
        <w:tc>
          <w:tcPr>
            <w:tcW w:w="222" w:type="dxa"/>
            <w:vAlign w:val="center"/>
            <w:hideMark/>
          </w:tcPr>
          <w:p w:rsidR="009B6B7F" w:rsidRPr="00D72B3B" w:rsidRDefault="009B6B7F" w:rsidP="00D72B3B"/>
        </w:tc>
        <w:tc>
          <w:tcPr>
            <w:tcW w:w="236" w:type="dxa"/>
            <w:vAlign w:val="center"/>
            <w:hideMark/>
          </w:tcPr>
          <w:p w:rsidR="009B6B7F" w:rsidRPr="00D72B3B" w:rsidRDefault="009B6B7F" w:rsidP="00D72B3B"/>
        </w:tc>
        <w:tc>
          <w:tcPr>
            <w:tcW w:w="257" w:type="dxa"/>
            <w:vAlign w:val="center"/>
            <w:hideMark/>
          </w:tcPr>
          <w:p w:rsidR="009B6B7F" w:rsidRPr="00D72B3B" w:rsidRDefault="009B6B7F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Obiteljski dom Marina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Maljaka</w:t>
            </w:r>
            <w:proofErr w:type="spellEnd"/>
            <w:r w:rsidRPr="00D72B3B">
              <w:rPr>
                <w:color w:val="000000"/>
                <w:sz w:val="22"/>
                <w:szCs w:val="22"/>
              </w:rPr>
              <w:t>, Hlebine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4.400,00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135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Obiteljski dom Božice Petković, Koprivnica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sz w:val="22"/>
                <w:szCs w:val="22"/>
              </w:rPr>
            </w:pPr>
            <w:r w:rsidRPr="00D72B3B">
              <w:rPr>
                <w:sz w:val="22"/>
                <w:szCs w:val="22"/>
              </w:rPr>
              <w:t>14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sz w:val="22"/>
                <w:szCs w:val="22"/>
              </w:rPr>
            </w:pPr>
            <w:r w:rsidRPr="00D72B3B">
              <w:rPr>
                <w:sz w:val="22"/>
                <w:szCs w:val="22"/>
              </w:rPr>
              <w:t>11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sz w:val="22"/>
                <w:szCs w:val="22"/>
              </w:rPr>
            </w:pPr>
            <w:r w:rsidRPr="00D72B3B">
              <w:rPr>
                <w:sz w:val="22"/>
                <w:szCs w:val="22"/>
              </w:rPr>
              <w:t>47.648,80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105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Obiteljski dom Aleksandre Kralj, Đurđevac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7.719,67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45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B70FDE" w:rsidRPr="00D72B3B" w:rsidTr="00985678">
        <w:trPr>
          <w:trHeight w:val="3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B70FDE" w:rsidRPr="00D72B3B" w:rsidRDefault="002C5142" w:rsidP="00985678">
            <w:pPr>
              <w:rPr>
                <w:color w:val="000000"/>
                <w:sz w:val="22"/>
                <w:szCs w:val="22"/>
              </w:rPr>
            </w:pPr>
            <w:r w:rsidRPr="002C5142">
              <w:rPr>
                <w:color w:val="000000"/>
                <w:sz w:val="22"/>
                <w:szCs w:val="22"/>
              </w:rPr>
              <w:t>Obiteljski dom Lidije Novak</w:t>
            </w:r>
            <w:r>
              <w:rPr>
                <w:color w:val="000000"/>
                <w:sz w:val="22"/>
                <w:szCs w:val="22"/>
              </w:rPr>
              <w:t>, Križevci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B70FDE" w:rsidRPr="00D72B3B" w:rsidRDefault="002C5142" w:rsidP="0098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0FDE" w:rsidRPr="00D72B3B" w:rsidRDefault="002C5142" w:rsidP="0098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E" w:rsidRPr="00D72B3B" w:rsidRDefault="0082213D" w:rsidP="008221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24.686,66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70FDE" w:rsidRPr="00D72B3B" w:rsidRDefault="00B70FDE" w:rsidP="00985678"/>
        </w:tc>
        <w:tc>
          <w:tcPr>
            <w:tcW w:w="236" w:type="dxa"/>
            <w:vAlign w:val="center"/>
            <w:hideMark/>
          </w:tcPr>
          <w:p w:rsidR="00B70FDE" w:rsidRPr="00D72B3B" w:rsidRDefault="00B70FDE" w:rsidP="00985678"/>
        </w:tc>
        <w:tc>
          <w:tcPr>
            <w:tcW w:w="222" w:type="dxa"/>
            <w:vAlign w:val="center"/>
            <w:hideMark/>
          </w:tcPr>
          <w:p w:rsidR="00B70FDE" w:rsidRPr="00D72B3B" w:rsidRDefault="00B70FDE" w:rsidP="00985678"/>
        </w:tc>
        <w:tc>
          <w:tcPr>
            <w:tcW w:w="236" w:type="dxa"/>
            <w:vAlign w:val="center"/>
            <w:hideMark/>
          </w:tcPr>
          <w:p w:rsidR="00B70FDE" w:rsidRPr="00D72B3B" w:rsidRDefault="00B70FDE" w:rsidP="00985678"/>
        </w:tc>
        <w:tc>
          <w:tcPr>
            <w:tcW w:w="257" w:type="dxa"/>
            <w:vAlign w:val="center"/>
            <w:hideMark/>
          </w:tcPr>
          <w:p w:rsidR="00B70FDE" w:rsidRPr="00D72B3B" w:rsidRDefault="00B70FDE" w:rsidP="00985678"/>
        </w:tc>
      </w:tr>
      <w:tr w:rsidR="00B70FDE" w:rsidRPr="00D72B3B" w:rsidTr="00985678">
        <w:trPr>
          <w:trHeight w:val="3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B70FDE" w:rsidRPr="00D72B3B" w:rsidRDefault="002C5142" w:rsidP="00985678">
            <w:pPr>
              <w:rPr>
                <w:color w:val="000000"/>
                <w:sz w:val="22"/>
                <w:szCs w:val="22"/>
              </w:rPr>
            </w:pPr>
            <w:r w:rsidRPr="002C5142">
              <w:rPr>
                <w:color w:val="000000"/>
                <w:sz w:val="22"/>
                <w:szCs w:val="22"/>
              </w:rPr>
              <w:t xml:space="preserve">Obiteljski dom Branke Prpić, </w:t>
            </w:r>
            <w:proofErr w:type="spellStart"/>
            <w:r w:rsidRPr="002C5142">
              <w:rPr>
                <w:color w:val="000000"/>
                <w:sz w:val="22"/>
                <w:szCs w:val="22"/>
              </w:rPr>
              <w:t>Škrinjari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B70FDE" w:rsidRPr="00D72B3B" w:rsidRDefault="002C5142" w:rsidP="0098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0FDE" w:rsidRPr="00D72B3B" w:rsidRDefault="002C5142" w:rsidP="00985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E" w:rsidRPr="00D72B3B" w:rsidRDefault="0082213D" w:rsidP="008221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18.064,07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70FDE" w:rsidRPr="00D72B3B" w:rsidRDefault="00B70FDE" w:rsidP="00985678"/>
        </w:tc>
        <w:tc>
          <w:tcPr>
            <w:tcW w:w="236" w:type="dxa"/>
            <w:vAlign w:val="center"/>
            <w:hideMark/>
          </w:tcPr>
          <w:p w:rsidR="00B70FDE" w:rsidRPr="00D72B3B" w:rsidRDefault="00B70FDE" w:rsidP="00985678"/>
        </w:tc>
        <w:tc>
          <w:tcPr>
            <w:tcW w:w="222" w:type="dxa"/>
            <w:vAlign w:val="center"/>
            <w:hideMark/>
          </w:tcPr>
          <w:p w:rsidR="00B70FDE" w:rsidRPr="00D72B3B" w:rsidRDefault="00B70FDE" w:rsidP="00985678"/>
        </w:tc>
        <w:tc>
          <w:tcPr>
            <w:tcW w:w="236" w:type="dxa"/>
            <w:vAlign w:val="center"/>
            <w:hideMark/>
          </w:tcPr>
          <w:p w:rsidR="00B70FDE" w:rsidRPr="00D72B3B" w:rsidRDefault="00B70FDE" w:rsidP="00985678"/>
        </w:tc>
        <w:tc>
          <w:tcPr>
            <w:tcW w:w="257" w:type="dxa"/>
            <w:vAlign w:val="center"/>
            <w:hideMark/>
          </w:tcPr>
          <w:p w:rsidR="00B70FDE" w:rsidRPr="00D72B3B" w:rsidRDefault="00B70FDE" w:rsidP="00985678"/>
        </w:tc>
      </w:tr>
      <w:tr w:rsidR="00D72B3B" w:rsidRPr="00D72B3B" w:rsidTr="00D72B3B">
        <w:trPr>
          <w:trHeight w:val="3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Obiteljski dom Tatjane Mršić,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Plavšinac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27.595,47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60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Obiteljski dom Ines Kos,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nil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60.861,46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Križevci</w:t>
            </w: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nil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nil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91568">
        <w:trPr>
          <w:trHeight w:val="7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Obiteljski dom Lahorke Pintarić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72B3B">
              <w:rPr>
                <w:color w:val="000000"/>
                <w:sz w:val="22"/>
                <w:szCs w:val="22"/>
              </w:rPr>
              <w:t xml:space="preserve"> Đurđevac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20.901,40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105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Obiteljski dom Biljane Carević</w:t>
            </w:r>
            <w:r>
              <w:rPr>
                <w:color w:val="000000"/>
                <w:sz w:val="22"/>
                <w:szCs w:val="22"/>
              </w:rPr>
              <w:t>, Mali Poganac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42.641,70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9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Obiteljski dom Peje Petrovića</w:t>
            </w:r>
            <w:r>
              <w:rPr>
                <w:color w:val="000000"/>
                <w:sz w:val="22"/>
                <w:szCs w:val="22"/>
              </w:rPr>
              <w:t>, Novigrad Podravski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2.632,23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6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Obiteljski dom Snježane Katić  Glogovac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16.699,99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15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Obiteljski dom Marije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Čorc</w:t>
            </w:r>
            <w:proofErr w:type="spellEnd"/>
            <w:r w:rsidRPr="00D72B3B">
              <w:rPr>
                <w:color w:val="000000"/>
                <w:sz w:val="22"/>
                <w:szCs w:val="22"/>
              </w:rPr>
              <w:t xml:space="preserve"> Gola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12.800,00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3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Obiteljski dom Mihaela Babića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Jagnjedovec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300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72B3B">
        <w:trPr>
          <w:trHeight w:val="120"/>
        </w:trPr>
        <w:tc>
          <w:tcPr>
            <w:tcW w:w="2729" w:type="dxa"/>
            <w:vMerge/>
            <w:tcBorders>
              <w:top w:val="single" w:sz="8" w:space="0" w:color="993366"/>
              <w:left w:val="single" w:sz="4" w:space="0" w:color="auto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8" w:space="0" w:color="993366"/>
              <w:left w:val="single" w:sz="8" w:space="0" w:color="99336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60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Obiteljski dom Marijana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Šklebara</w:t>
            </w:r>
            <w:proofErr w:type="spellEnd"/>
            <w:r w:rsidRPr="00D72B3B">
              <w:rPr>
                <w:color w:val="000000"/>
                <w:sz w:val="22"/>
                <w:szCs w:val="22"/>
              </w:rPr>
              <w:t xml:space="preserve"> Virje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993366"/>
              <w:bottom w:val="single" w:sz="8" w:space="0" w:color="993366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39.686,66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91568">
        <w:trPr>
          <w:trHeight w:val="5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single" w:sz="8" w:space="0" w:color="993366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 xml:space="preserve">Obiteljski dom Gogea Mije </w:t>
            </w:r>
            <w:proofErr w:type="spellStart"/>
            <w:r w:rsidRPr="00D72B3B">
              <w:rPr>
                <w:color w:val="000000"/>
                <w:sz w:val="22"/>
                <w:szCs w:val="22"/>
              </w:rPr>
              <w:t>Imbriovec</w:t>
            </w:r>
            <w:proofErr w:type="spellEnd"/>
          </w:p>
        </w:tc>
        <w:tc>
          <w:tcPr>
            <w:tcW w:w="1949" w:type="dxa"/>
            <w:vMerge w:val="restart"/>
            <w:tcBorders>
              <w:top w:val="nil"/>
              <w:left w:val="single" w:sz="8" w:space="0" w:color="993366"/>
              <w:bottom w:val="nil"/>
              <w:right w:val="single" w:sz="8" w:space="0" w:color="993366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993366"/>
              <w:bottom w:val="nil"/>
              <w:right w:val="nil"/>
            </w:tcBorders>
            <w:shd w:val="clear" w:color="000000" w:fill="FFFFFF"/>
            <w:hideMark/>
          </w:tcPr>
          <w:p w:rsidR="00D72B3B" w:rsidRPr="00D72B3B" w:rsidRDefault="00D72B3B" w:rsidP="00D72B3B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993366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2B3B" w:rsidRPr="00D72B3B" w:rsidRDefault="00D72B3B" w:rsidP="0082213D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14.280,45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nil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nil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D91568">
        <w:trPr>
          <w:trHeight w:val="7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8" w:space="0" w:color="993366"/>
              <w:bottom w:val="nil"/>
              <w:right w:val="single" w:sz="8" w:space="0" w:color="993366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993366"/>
              <w:bottom w:val="nil"/>
              <w:right w:val="single" w:sz="4" w:space="0" w:color="auto"/>
            </w:tcBorders>
            <w:vAlign w:val="center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3B" w:rsidRPr="00D72B3B" w:rsidRDefault="00D72B3B" w:rsidP="00D72B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single" w:sz="4" w:space="0" w:color="C00000"/>
              <w:left w:val="single" w:sz="4" w:space="0" w:color="auto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D72B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B3B">
              <w:rPr>
                <w:b/>
                <w:bCs/>
                <w:color w:val="000000"/>
                <w:sz w:val="22"/>
                <w:szCs w:val="22"/>
              </w:rPr>
              <w:t>Ukupno 3</w:t>
            </w:r>
          </w:p>
        </w:tc>
        <w:tc>
          <w:tcPr>
            <w:tcW w:w="1949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49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D72B3B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344.418,56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  <w:tr w:rsidR="00D72B3B" w:rsidRPr="00D72B3B" w:rsidTr="0082213D">
        <w:trPr>
          <w:trHeight w:val="30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D72B3B">
            <w:pPr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SVEUKUPNO 1+2+3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82213D">
            <w:pPr>
              <w:jc w:val="center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21</w:t>
            </w:r>
            <w:r w:rsidR="006848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B3B" w:rsidRPr="00D72B3B" w:rsidRDefault="00D72B3B" w:rsidP="00D72B3B">
            <w:pPr>
              <w:jc w:val="right"/>
              <w:rPr>
                <w:color w:val="000000"/>
                <w:sz w:val="22"/>
                <w:szCs w:val="22"/>
              </w:rPr>
            </w:pPr>
            <w:r w:rsidRPr="00D72B3B">
              <w:rPr>
                <w:color w:val="000000"/>
                <w:sz w:val="22"/>
                <w:szCs w:val="22"/>
              </w:rPr>
              <w:t>865.</w:t>
            </w:r>
            <w:r w:rsidR="0060002E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22" w:type="dxa"/>
            <w:vAlign w:val="center"/>
            <w:hideMark/>
          </w:tcPr>
          <w:p w:rsidR="00D72B3B" w:rsidRPr="00D72B3B" w:rsidRDefault="00D72B3B" w:rsidP="00D72B3B"/>
        </w:tc>
        <w:tc>
          <w:tcPr>
            <w:tcW w:w="236" w:type="dxa"/>
            <w:vAlign w:val="center"/>
            <w:hideMark/>
          </w:tcPr>
          <w:p w:rsidR="00D72B3B" w:rsidRPr="00D72B3B" w:rsidRDefault="00D72B3B" w:rsidP="00D72B3B"/>
        </w:tc>
        <w:tc>
          <w:tcPr>
            <w:tcW w:w="257" w:type="dxa"/>
            <w:vAlign w:val="center"/>
            <w:hideMark/>
          </w:tcPr>
          <w:p w:rsidR="00D72B3B" w:rsidRPr="00D72B3B" w:rsidRDefault="00D72B3B" w:rsidP="00D72B3B"/>
        </w:tc>
      </w:tr>
    </w:tbl>
    <w:p w:rsidR="00D72B3B" w:rsidRDefault="00D72B3B"/>
    <w:p w:rsidR="004313F1" w:rsidRPr="00440F09" w:rsidRDefault="004313F1" w:rsidP="00B30745">
      <w:pPr>
        <w:spacing w:line="300" w:lineRule="exact"/>
        <w:jc w:val="both"/>
        <w:rPr>
          <w:color w:val="000000"/>
          <w:sz w:val="24"/>
          <w:szCs w:val="24"/>
        </w:rPr>
      </w:pPr>
      <w:r w:rsidRPr="00440F09">
        <w:rPr>
          <w:sz w:val="24"/>
          <w:szCs w:val="24"/>
        </w:rPr>
        <w:t>Iz tablice je vidljivo da je na dan 30.6.2020. sufinanciranjem bilo</w:t>
      </w:r>
      <w:r w:rsidR="004E1729" w:rsidRPr="00440F09">
        <w:rPr>
          <w:sz w:val="24"/>
          <w:szCs w:val="24"/>
        </w:rPr>
        <w:t xml:space="preserve"> obuhvaćeno 223 osobe, a na zadnji dan 2020. godine 214 osoba. Između ostalog i jer se radi o osobama starije životne dobi te osobama koje zbog trajnih promjena u zdravstvenom stanju </w:t>
      </w:r>
      <w:proofErr w:type="spellStart"/>
      <w:r w:rsidR="004E1729" w:rsidRPr="00440F09">
        <w:rPr>
          <w:sz w:val="24"/>
          <w:szCs w:val="24"/>
        </w:rPr>
        <w:t>zahtjevaju</w:t>
      </w:r>
      <w:proofErr w:type="spellEnd"/>
      <w:r w:rsidR="004E1729" w:rsidRPr="00440F09">
        <w:rPr>
          <w:sz w:val="24"/>
          <w:szCs w:val="24"/>
        </w:rPr>
        <w:t xml:space="preserve"> stalnu tuđu pomoć i </w:t>
      </w:r>
      <w:r w:rsidR="004E1729" w:rsidRPr="00440F09">
        <w:rPr>
          <w:sz w:val="24"/>
          <w:szCs w:val="24"/>
        </w:rPr>
        <w:lastRenderedPageBreak/>
        <w:t xml:space="preserve">njegu, lista osoba kojima se sufinancira smještaj stalno se mijenja i nadopunjuje, najčešće nažalost zbog smrti korisnika. Iz tablice je vidljivo da je na sufinanciranje smještaja tijekom 2020. godine utrošeno </w:t>
      </w:r>
      <w:r w:rsidR="009F1EC5" w:rsidRPr="00440F09">
        <w:rPr>
          <w:sz w:val="24"/>
          <w:szCs w:val="24"/>
        </w:rPr>
        <w:t xml:space="preserve">865.355,00 kuna, a da sufinanciranje u kategoriji ustanova najviše koriste korisnici smješteni u </w:t>
      </w:r>
      <w:r w:rsidR="009F1EC5" w:rsidRPr="00440F09">
        <w:rPr>
          <w:color w:val="000000"/>
          <w:sz w:val="24"/>
          <w:szCs w:val="24"/>
        </w:rPr>
        <w:t>Dom za starije i nemoć</w:t>
      </w:r>
      <w:r w:rsidR="00DC088F">
        <w:rPr>
          <w:color w:val="000000"/>
          <w:sz w:val="24"/>
          <w:szCs w:val="24"/>
        </w:rPr>
        <w:t xml:space="preserve">ne osobe „Dom sestre Jadranke“ </w:t>
      </w:r>
      <w:proofErr w:type="spellStart"/>
      <w:r w:rsidR="009F1EC5" w:rsidRPr="00440F09">
        <w:rPr>
          <w:color w:val="000000"/>
          <w:sz w:val="24"/>
          <w:szCs w:val="24"/>
        </w:rPr>
        <w:t>Čabraji</w:t>
      </w:r>
      <w:proofErr w:type="spellEnd"/>
      <w:r w:rsidR="009F1EC5" w:rsidRPr="00440F09">
        <w:rPr>
          <w:color w:val="000000"/>
          <w:sz w:val="24"/>
          <w:szCs w:val="24"/>
        </w:rPr>
        <w:t xml:space="preserve">, u kategoriji pravnih osoba i obrtnika Dom </w:t>
      </w:r>
      <w:proofErr w:type="spellStart"/>
      <w:r w:rsidR="009F1EC5" w:rsidRPr="00440F09">
        <w:rPr>
          <w:color w:val="000000"/>
          <w:sz w:val="24"/>
          <w:szCs w:val="24"/>
        </w:rPr>
        <w:t>Stanešić</w:t>
      </w:r>
      <w:proofErr w:type="spellEnd"/>
      <w:r w:rsidR="009F1EC5" w:rsidRPr="00440F09">
        <w:rPr>
          <w:color w:val="000000"/>
          <w:sz w:val="24"/>
          <w:szCs w:val="24"/>
        </w:rPr>
        <w:t xml:space="preserve"> d.o.o., Virje, a u kategoriji obiteljskih</w:t>
      </w:r>
      <w:r w:rsidR="00DC088F">
        <w:rPr>
          <w:color w:val="000000"/>
          <w:sz w:val="24"/>
          <w:szCs w:val="24"/>
        </w:rPr>
        <w:t xml:space="preserve"> domova Obiteljski dom Ines Kos</w:t>
      </w:r>
      <w:r w:rsidR="009F1EC5" w:rsidRPr="00440F09">
        <w:rPr>
          <w:color w:val="000000"/>
          <w:sz w:val="24"/>
          <w:szCs w:val="24"/>
        </w:rPr>
        <w:t xml:space="preserve"> Križevci.</w:t>
      </w:r>
    </w:p>
    <w:p w:rsidR="00B05424" w:rsidRDefault="00B05424">
      <w:pPr>
        <w:rPr>
          <w:color w:val="000000"/>
          <w:sz w:val="22"/>
          <w:szCs w:val="22"/>
        </w:rPr>
      </w:pPr>
    </w:p>
    <w:p w:rsidR="00B05424" w:rsidRPr="00B30745" w:rsidRDefault="00B05424">
      <w:pPr>
        <w:rPr>
          <w:color w:val="000000"/>
          <w:sz w:val="24"/>
          <w:szCs w:val="24"/>
        </w:rPr>
      </w:pPr>
      <w:r w:rsidRPr="00B30745">
        <w:rPr>
          <w:color w:val="000000"/>
          <w:sz w:val="24"/>
          <w:szCs w:val="24"/>
        </w:rPr>
        <w:t>Grafikon</w:t>
      </w:r>
      <w:r w:rsidR="005029C7" w:rsidRPr="00B30745">
        <w:rPr>
          <w:color w:val="000000"/>
          <w:sz w:val="24"/>
          <w:szCs w:val="24"/>
        </w:rPr>
        <w:t xml:space="preserve"> 1</w:t>
      </w:r>
      <w:r w:rsidRPr="00B30745">
        <w:rPr>
          <w:color w:val="000000"/>
          <w:sz w:val="24"/>
          <w:szCs w:val="24"/>
        </w:rPr>
        <w:t>: Sufinanciranje na dan 31.12.2020. prema organizacijskom obliku doma</w:t>
      </w:r>
    </w:p>
    <w:p w:rsidR="009F1EC5" w:rsidRDefault="009F1EC5">
      <w:pPr>
        <w:rPr>
          <w:color w:val="000000"/>
          <w:sz w:val="22"/>
          <w:szCs w:val="22"/>
        </w:rPr>
      </w:pPr>
    </w:p>
    <w:p w:rsidR="009F1EC5" w:rsidRDefault="009F1EC5">
      <w:r>
        <w:rPr>
          <w:noProof/>
        </w:rPr>
        <w:drawing>
          <wp:inline distT="0" distB="0" distL="0" distR="0">
            <wp:extent cx="5077736" cy="2727297"/>
            <wp:effectExtent l="19050" t="0" r="27664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424" w:rsidRDefault="00B05424"/>
    <w:p w:rsidR="00B05424" w:rsidRPr="006E6A2B" w:rsidRDefault="00440F09" w:rsidP="00B30745">
      <w:pPr>
        <w:spacing w:line="300" w:lineRule="exact"/>
        <w:rPr>
          <w:sz w:val="24"/>
          <w:szCs w:val="24"/>
        </w:rPr>
      </w:pPr>
      <w:r w:rsidRPr="006E6A2B">
        <w:rPr>
          <w:sz w:val="24"/>
          <w:szCs w:val="24"/>
        </w:rPr>
        <w:t xml:space="preserve">Iz grafikona je vidljivo da najveći broj korisnika obuhvaćenih sufinanciranjem (94 ili 44%) dolazi iz obiteljskih domova, kategoriji domova koji su i najbrojniji i na našem području, a čiji je kapacitet zakonski ograničen na najviše 20 korisnika. Odmah iza njih su oni najveći domovi, domovi sa statusom ustanove (80 ili 37,3%), a koji su </w:t>
      </w:r>
      <w:r w:rsidR="006E6A2B" w:rsidRPr="006E6A2B">
        <w:rPr>
          <w:sz w:val="24"/>
          <w:szCs w:val="24"/>
        </w:rPr>
        <w:t>prvi obuhvaćeni sufinanciranjem.</w:t>
      </w:r>
    </w:p>
    <w:p w:rsidR="00B05424" w:rsidRDefault="00B05424"/>
    <w:p w:rsidR="00B05424" w:rsidRDefault="00B05424"/>
    <w:p w:rsidR="00B05424" w:rsidRPr="005029C7" w:rsidRDefault="00B05424">
      <w:pPr>
        <w:rPr>
          <w:color w:val="000000"/>
          <w:sz w:val="24"/>
          <w:szCs w:val="24"/>
        </w:rPr>
      </w:pPr>
      <w:r w:rsidRPr="005029C7">
        <w:rPr>
          <w:sz w:val="24"/>
          <w:szCs w:val="24"/>
        </w:rPr>
        <w:t>Grafikon</w:t>
      </w:r>
      <w:r w:rsidRPr="005029C7">
        <w:rPr>
          <w:color w:val="000000"/>
          <w:sz w:val="24"/>
          <w:szCs w:val="24"/>
        </w:rPr>
        <w:t xml:space="preserve"> </w:t>
      </w:r>
      <w:r w:rsidR="009B6B7F">
        <w:rPr>
          <w:color w:val="000000"/>
          <w:sz w:val="24"/>
          <w:szCs w:val="24"/>
        </w:rPr>
        <w:t xml:space="preserve">2: </w:t>
      </w:r>
      <w:r w:rsidRPr="005029C7">
        <w:rPr>
          <w:color w:val="000000"/>
          <w:sz w:val="24"/>
          <w:szCs w:val="24"/>
        </w:rPr>
        <w:t>Sufinanciranje na dan 31.12.2020. prema području na kojem se nalazi dom</w:t>
      </w:r>
    </w:p>
    <w:p w:rsidR="001E75D5" w:rsidRDefault="001E75D5"/>
    <w:p w:rsidR="00B05424" w:rsidRDefault="00B05424">
      <w:r>
        <w:rPr>
          <w:noProof/>
        </w:rPr>
        <w:drawing>
          <wp:inline distT="0" distB="0" distL="0" distR="0">
            <wp:extent cx="5197006" cy="2727298"/>
            <wp:effectExtent l="19050" t="0" r="22694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66AD" w:rsidRDefault="008F66AD"/>
    <w:p w:rsidR="008F66AD" w:rsidRPr="006D1E2E" w:rsidRDefault="008F66AD" w:rsidP="00DC088F">
      <w:pPr>
        <w:spacing w:line="300" w:lineRule="exact"/>
        <w:jc w:val="both"/>
        <w:rPr>
          <w:sz w:val="24"/>
          <w:szCs w:val="24"/>
        </w:rPr>
      </w:pPr>
      <w:r w:rsidRPr="006D1E2E">
        <w:rPr>
          <w:sz w:val="24"/>
          <w:szCs w:val="24"/>
        </w:rPr>
        <w:t>Skoro podjednak broj osoba obuhvaćen sufinanciranjem smješten je u domove s koprivničkog (93 ili 43,5%) i križevačkog područja (90 ili 42%)</w:t>
      </w:r>
      <w:r w:rsidR="00DC088F">
        <w:rPr>
          <w:sz w:val="24"/>
          <w:szCs w:val="24"/>
        </w:rPr>
        <w:t>,</w:t>
      </w:r>
      <w:r w:rsidR="005029C7">
        <w:rPr>
          <w:sz w:val="24"/>
          <w:szCs w:val="24"/>
        </w:rPr>
        <w:t xml:space="preserve"> vidljivo je iz grafikona 2</w:t>
      </w:r>
      <w:r w:rsidRPr="006D1E2E">
        <w:rPr>
          <w:sz w:val="24"/>
          <w:szCs w:val="24"/>
        </w:rPr>
        <w:t>. Značajno manje (31 ili 14,5%) osoba obuhvaćen sufinanciranjem smješten je u domove s đurđevačkog područja</w:t>
      </w:r>
      <w:r w:rsidR="00FB6343" w:rsidRPr="006D1E2E">
        <w:rPr>
          <w:sz w:val="24"/>
          <w:szCs w:val="24"/>
        </w:rPr>
        <w:t>. Razlog za to jednim dijelom leži u manjem broju privatnih domova na đurđevačkom području (u odnosu na koprivničko i križevačko</w:t>
      </w:r>
      <w:r w:rsidR="00DC088F">
        <w:rPr>
          <w:sz w:val="24"/>
          <w:szCs w:val="24"/>
        </w:rPr>
        <w:t xml:space="preserve"> podr</w:t>
      </w:r>
      <w:r w:rsidR="008B6F4B" w:rsidRPr="006D1E2E">
        <w:rPr>
          <w:sz w:val="24"/>
          <w:szCs w:val="24"/>
        </w:rPr>
        <w:t>učje</w:t>
      </w:r>
      <w:r w:rsidR="00FB6343" w:rsidRPr="006D1E2E">
        <w:rPr>
          <w:sz w:val="24"/>
          <w:szCs w:val="24"/>
        </w:rPr>
        <w:t>), a zbog čega jedan dio osoba s đurđevačkog područja smještaj pronalazi u domovima na koprivničko</w:t>
      </w:r>
      <w:r w:rsidR="008B6F4B" w:rsidRPr="006D1E2E">
        <w:rPr>
          <w:sz w:val="24"/>
          <w:szCs w:val="24"/>
        </w:rPr>
        <w:t xml:space="preserve">m ali i križevačkom području, </w:t>
      </w:r>
      <w:r w:rsidR="00FB6343" w:rsidRPr="006D1E2E">
        <w:rPr>
          <w:sz w:val="24"/>
          <w:szCs w:val="24"/>
        </w:rPr>
        <w:t>vrlo vjerojatno i na području susjedne Virovitičko-podravske županije. Sudeći po informacijama iz centara za socijalnu skrb, situacija u pogledu smještaja</w:t>
      </w:r>
      <w:r w:rsidR="008B6F4B" w:rsidRPr="006D1E2E">
        <w:rPr>
          <w:sz w:val="24"/>
          <w:szCs w:val="24"/>
        </w:rPr>
        <w:t xml:space="preserve"> starijih i nemoćnih osoba na đurđevačkom području nije značajno lošija od one na koprivničkom i križevačkom području. Naime, sva tri centra imaju „podjednakih“ problema u zbrinjavanju starijih i nemoćnih osoba koje su dužni smjestiti.</w:t>
      </w:r>
    </w:p>
    <w:p w:rsidR="008B6F4B" w:rsidRPr="006D1E2E" w:rsidRDefault="008B6F4B" w:rsidP="00B30745">
      <w:pPr>
        <w:spacing w:line="300" w:lineRule="exact"/>
        <w:rPr>
          <w:sz w:val="24"/>
          <w:szCs w:val="24"/>
        </w:rPr>
      </w:pPr>
    </w:p>
    <w:p w:rsidR="008B6F4B" w:rsidRPr="005029C7" w:rsidRDefault="005029C7" w:rsidP="00B30745">
      <w:pPr>
        <w:spacing w:line="300" w:lineRule="exact"/>
        <w:ind w:firstLine="708"/>
        <w:rPr>
          <w:b/>
          <w:sz w:val="24"/>
          <w:szCs w:val="24"/>
        </w:rPr>
      </w:pPr>
      <w:r w:rsidRPr="005029C7">
        <w:rPr>
          <w:b/>
          <w:sz w:val="24"/>
          <w:szCs w:val="24"/>
        </w:rPr>
        <w:t>Zaključna razmatranja</w:t>
      </w:r>
    </w:p>
    <w:p w:rsidR="00F35458" w:rsidRPr="006D1E2E" w:rsidRDefault="00F35458" w:rsidP="00B30745">
      <w:pPr>
        <w:spacing w:line="300" w:lineRule="exact"/>
        <w:ind w:firstLine="708"/>
        <w:jc w:val="both"/>
        <w:rPr>
          <w:sz w:val="24"/>
          <w:szCs w:val="24"/>
        </w:rPr>
      </w:pPr>
      <w:r w:rsidRPr="006D1E2E">
        <w:rPr>
          <w:sz w:val="24"/>
          <w:szCs w:val="24"/>
        </w:rPr>
        <w:t xml:space="preserve">Sufinanciranje smještaja u privatne domove za starije i nemoćne projekt je kojim Koprivničko-križevačka županija </w:t>
      </w:r>
      <w:r w:rsidR="00B648A2" w:rsidRPr="006D1E2E">
        <w:rPr>
          <w:sz w:val="24"/>
          <w:szCs w:val="24"/>
        </w:rPr>
        <w:t xml:space="preserve">prvenstveno </w:t>
      </w:r>
      <w:r w:rsidRPr="006D1E2E">
        <w:rPr>
          <w:sz w:val="24"/>
          <w:szCs w:val="24"/>
        </w:rPr>
        <w:t xml:space="preserve">nastoji barem djelomično </w:t>
      </w:r>
      <w:r w:rsidR="00481016" w:rsidRPr="006D1E2E">
        <w:rPr>
          <w:sz w:val="24"/>
          <w:szCs w:val="24"/>
        </w:rPr>
        <w:t xml:space="preserve">pomoći samoj smještenoj osobi i članovima obitelji u pokriću </w:t>
      </w:r>
      <w:r w:rsidR="00B648A2" w:rsidRPr="006D1E2E">
        <w:rPr>
          <w:sz w:val="24"/>
          <w:szCs w:val="24"/>
        </w:rPr>
        <w:t>ovih</w:t>
      </w:r>
      <w:r w:rsidR="00481016" w:rsidRPr="006D1E2E">
        <w:rPr>
          <w:sz w:val="24"/>
          <w:szCs w:val="24"/>
        </w:rPr>
        <w:t xml:space="preserve"> troškova. Tim projektom nastoji se i barem </w:t>
      </w:r>
      <w:r w:rsidR="00B648A2" w:rsidRPr="006D1E2E">
        <w:rPr>
          <w:sz w:val="24"/>
          <w:szCs w:val="24"/>
        </w:rPr>
        <w:t xml:space="preserve">djelomično </w:t>
      </w:r>
      <w:r w:rsidRPr="006D1E2E">
        <w:rPr>
          <w:sz w:val="24"/>
          <w:szCs w:val="24"/>
        </w:rPr>
        <w:t>ublažiti posljedice negativnih demografskih trendova ali i razmišljanja koje je prevladalo</w:t>
      </w:r>
      <w:r w:rsidR="00210CDA" w:rsidRPr="006D1E2E">
        <w:rPr>
          <w:sz w:val="24"/>
          <w:szCs w:val="24"/>
        </w:rPr>
        <w:t xml:space="preserve"> p</w:t>
      </w:r>
      <w:r w:rsidR="00ED6C05" w:rsidRPr="006D1E2E">
        <w:rPr>
          <w:sz w:val="24"/>
          <w:szCs w:val="24"/>
        </w:rPr>
        <w:t>očetkom tisućljeća na nacionalnoj razini</w:t>
      </w:r>
      <w:r w:rsidR="009B6B7F">
        <w:rPr>
          <w:sz w:val="24"/>
          <w:szCs w:val="24"/>
        </w:rPr>
        <w:t>,</w:t>
      </w:r>
      <w:r w:rsidR="00ED6C05" w:rsidRPr="006D1E2E">
        <w:rPr>
          <w:sz w:val="24"/>
          <w:szCs w:val="24"/>
        </w:rPr>
        <w:t xml:space="preserve"> ali i među nekim stručnjacima, a koje je, u najmanju ruku, dovelo do zanemarivanja </w:t>
      </w:r>
      <w:proofErr w:type="spellStart"/>
      <w:r w:rsidR="00ED6C05" w:rsidRPr="006D1E2E">
        <w:rPr>
          <w:sz w:val="24"/>
          <w:szCs w:val="24"/>
        </w:rPr>
        <w:t>tzv</w:t>
      </w:r>
      <w:proofErr w:type="spellEnd"/>
      <w:r w:rsidR="00ED6C05" w:rsidRPr="006D1E2E">
        <w:rPr>
          <w:sz w:val="24"/>
          <w:szCs w:val="24"/>
        </w:rPr>
        <w:t>. institu</w:t>
      </w:r>
      <w:r w:rsidR="003A42EC" w:rsidRPr="006D1E2E">
        <w:rPr>
          <w:sz w:val="24"/>
          <w:szCs w:val="24"/>
        </w:rPr>
        <w:t>cionalne skrbi o starijim osobama</w:t>
      </w:r>
      <w:r w:rsidR="00481016" w:rsidRPr="006D1E2E">
        <w:rPr>
          <w:sz w:val="24"/>
          <w:szCs w:val="24"/>
        </w:rPr>
        <w:t>. Privatna</w:t>
      </w:r>
      <w:r w:rsidR="009B43E4" w:rsidRPr="006D1E2E">
        <w:rPr>
          <w:sz w:val="24"/>
          <w:szCs w:val="24"/>
        </w:rPr>
        <w:t xml:space="preserve"> inicijativa, u koju</w:t>
      </w:r>
      <w:r w:rsidR="003A42EC" w:rsidRPr="006D1E2E">
        <w:rPr>
          <w:sz w:val="24"/>
          <w:szCs w:val="24"/>
        </w:rPr>
        <w:t xml:space="preserve"> se </w:t>
      </w:r>
      <w:r w:rsidR="00B648A2" w:rsidRPr="006D1E2E">
        <w:rPr>
          <w:sz w:val="24"/>
          <w:szCs w:val="24"/>
        </w:rPr>
        <w:t xml:space="preserve">tada </w:t>
      </w:r>
      <w:r w:rsidR="003A42EC" w:rsidRPr="006D1E2E">
        <w:rPr>
          <w:sz w:val="24"/>
          <w:szCs w:val="24"/>
        </w:rPr>
        <w:t>polaga</w:t>
      </w:r>
      <w:r w:rsidR="009B43E4" w:rsidRPr="006D1E2E">
        <w:rPr>
          <w:sz w:val="24"/>
          <w:szCs w:val="24"/>
        </w:rPr>
        <w:t>l</w:t>
      </w:r>
      <w:r w:rsidR="003A42EC" w:rsidRPr="006D1E2E">
        <w:rPr>
          <w:sz w:val="24"/>
          <w:szCs w:val="24"/>
        </w:rPr>
        <w:t>o nade</w:t>
      </w:r>
      <w:r w:rsidR="009B43E4" w:rsidRPr="006D1E2E">
        <w:rPr>
          <w:sz w:val="24"/>
          <w:szCs w:val="24"/>
        </w:rPr>
        <w:t xml:space="preserve"> u pogledu smještaja starijih i nemoćnih osoba</w:t>
      </w:r>
      <w:r w:rsidR="007D4630" w:rsidRPr="006D1E2E">
        <w:rPr>
          <w:sz w:val="24"/>
          <w:szCs w:val="24"/>
        </w:rPr>
        <w:t xml:space="preserve"> i vel</w:t>
      </w:r>
      <w:r w:rsidR="00B648A2" w:rsidRPr="006D1E2E">
        <w:rPr>
          <w:sz w:val="24"/>
          <w:szCs w:val="24"/>
        </w:rPr>
        <w:t>ikim dijelom joj se taj smještaj i prepustio</w:t>
      </w:r>
      <w:r w:rsidR="003A42EC" w:rsidRPr="006D1E2E">
        <w:rPr>
          <w:sz w:val="24"/>
          <w:szCs w:val="24"/>
        </w:rPr>
        <w:t xml:space="preserve">, </w:t>
      </w:r>
      <w:r w:rsidR="009B43E4" w:rsidRPr="006D1E2E">
        <w:rPr>
          <w:sz w:val="24"/>
          <w:szCs w:val="24"/>
        </w:rPr>
        <w:t xml:space="preserve">jednim </w:t>
      </w:r>
      <w:r w:rsidR="003A42EC" w:rsidRPr="006D1E2E">
        <w:rPr>
          <w:sz w:val="24"/>
          <w:szCs w:val="24"/>
        </w:rPr>
        <w:t>dije</w:t>
      </w:r>
      <w:r w:rsidR="009B43E4" w:rsidRPr="006D1E2E">
        <w:rPr>
          <w:sz w:val="24"/>
          <w:szCs w:val="24"/>
        </w:rPr>
        <w:t>l</w:t>
      </w:r>
      <w:r w:rsidR="003A42EC" w:rsidRPr="006D1E2E">
        <w:rPr>
          <w:sz w:val="24"/>
          <w:szCs w:val="24"/>
        </w:rPr>
        <w:t>om je</w:t>
      </w:r>
      <w:r w:rsidR="009B43E4" w:rsidRPr="006D1E2E">
        <w:rPr>
          <w:sz w:val="24"/>
          <w:szCs w:val="24"/>
        </w:rPr>
        <w:t xml:space="preserve"> ispunila očekivanja no pokazuje se da ona nije rasla u dovoljnoj mjeri</w:t>
      </w:r>
      <w:r w:rsidR="00097E0A" w:rsidRPr="006D1E2E">
        <w:rPr>
          <w:sz w:val="24"/>
          <w:szCs w:val="24"/>
        </w:rPr>
        <w:t xml:space="preserve"> da bi zadovoljila </w:t>
      </w:r>
      <w:r w:rsidR="007D4630" w:rsidRPr="006D1E2E">
        <w:rPr>
          <w:sz w:val="24"/>
          <w:szCs w:val="24"/>
        </w:rPr>
        <w:t xml:space="preserve">sve </w:t>
      </w:r>
      <w:r w:rsidR="00097E0A" w:rsidRPr="006D1E2E">
        <w:rPr>
          <w:sz w:val="24"/>
          <w:szCs w:val="24"/>
        </w:rPr>
        <w:t>potrebe</w:t>
      </w:r>
      <w:r w:rsidR="00F76215" w:rsidRPr="006D1E2E">
        <w:rPr>
          <w:sz w:val="24"/>
          <w:szCs w:val="24"/>
        </w:rPr>
        <w:t>. Posljedica toga osjetila</w:t>
      </w:r>
      <w:r w:rsidR="009B43E4" w:rsidRPr="006D1E2E">
        <w:rPr>
          <w:sz w:val="24"/>
          <w:szCs w:val="24"/>
        </w:rPr>
        <w:t xml:space="preserve"> se </w:t>
      </w:r>
      <w:r w:rsidR="00F76215" w:rsidRPr="006D1E2E">
        <w:rPr>
          <w:sz w:val="24"/>
          <w:szCs w:val="24"/>
        </w:rPr>
        <w:t>(doduše, osjeća se i nadalje)</w:t>
      </w:r>
      <w:r w:rsidR="00E10D1D" w:rsidRPr="006D1E2E">
        <w:rPr>
          <w:sz w:val="24"/>
          <w:szCs w:val="24"/>
        </w:rPr>
        <w:t xml:space="preserve"> </w:t>
      </w:r>
      <w:r w:rsidR="009B43E4" w:rsidRPr="006D1E2E">
        <w:rPr>
          <w:sz w:val="24"/>
          <w:szCs w:val="24"/>
        </w:rPr>
        <w:t>i na našem području gdje se tak</w:t>
      </w:r>
      <w:r w:rsidR="00097E0A" w:rsidRPr="006D1E2E">
        <w:rPr>
          <w:sz w:val="24"/>
          <w:szCs w:val="24"/>
        </w:rPr>
        <w:t>ođer bilježi</w:t>
      </w:r>
      <w:r w:rsidR="00F76215" w:rsidRPr="006D1E2E">
        <w:rPr>
          <w:sz w:val="24"/>
          <w:szCs w:val="24"/>
        </w:rPr>
        <w:t>o</w:t>
      </w:r>
      <w:r w:rsidR="00097E0A" w:rsidRPr="006D1E2E">
        <w:rPr>
          <w:sz w:val="24"/>
          <w:szCs w:val="24"/>
        </w:rPr>
        <w:t xml:space="preserve"> nedostatak smještajnih kapaciteta. </w:t>
      </w:r>
      <w:r w:rsidR="00F76215" w:rsidRPr="006D1E2E">
        <w:rPr>
          <w:sz w:val="24"/>
          <w:szCs w:val="24"/>
        </w:rPr>
        <w:t xml:space="preserve">Centri za socijalnu skrb </w:t>
      </w:r>
      <w:r w:rsidR="00B648A2" w:rsidRPr="006D1E2E">
        <w:rPr>
          <w:sz w:val="24"/>
          <w:szCs w:val="24"/>
        </w:rPr>
        <w:t xml:space="preserve">još prije nekoliko godina počeli su ukazivati </w:t>
      </w:r>
      <w:r w:rsidR="00097E0A" w:rsidRPr="006D1E2E">
        <w:rPr>
          <w:sz w:val="24"/>
          <w:szCs w:val="24"/>
        </w:rPr>
        <w:t xml:space="preserve">na relativno slab interes za bavljenje </w:t>
      </w:r>
      <w:proofErr w:type="spellStart"/>
      <w:r w:rsidR="00097E0A" w:rsidRPr="006D1E2E">
        <w:rPr>
          <w:sz w:val="24"/>
          <w:szCs w:val="24"/>
        </w:rPr>
        <w:t>udomiteljstvom</w:t>
      </w:r>
      <w:proofErr w:type="spellEnd"/>
      <w:r w:rsidR="00097E0A" w:rsidRPr="006D1E2E">
        <w:rPr>
          <w:sz w:val="24"/>
          <w:szCs w:val="24"/>
        </w:rPr>
        <w:t>, a niz čimbenika, od propisanih uvjeta, nedostatka medicinskih radnika i medijskih napisa</w:t>
      </w:r>
      <w:r w:rsidR="00DC088F">
        <w:rPr>
          <w:sz w:val="24"/>
          <w:szCs w:val="24"/>
        </w:rPr>
        <w:t>,</w:t>
      </w:r>
      <w:r w:rsidR="00097E0A" w:rsidRPr="006D1E2E">
        <w:rPr>
          <w:sz w:val="24"/>
          <w:szCs w:val="24"/>
        </w:rPr>
        <w:t xml:space="preserve"> značajan broj onih koji su namjeravali krenuti u otvaranje domova za starije ili u proširenje smještajnih kapaciteta, usporila ih je ili </w:t>
      </w:r>
      <w:r w:rsidR="007D4630" w:rsidRPr="006D1E2E">
        <w:rPr>
          <w:sz w:val="24"/>
          <w:szCs w:val="24"/>
        </w:rPr>
        <w:t xml:space="preserve">čak </w:t>
      </w:r>
      <w:r w:rsidR="00097E0A" w:rsidRPr="006D1E2E">
        <w:rPr>
          <w:sz w:val="24"/>
          <w:szCs w:val="24"/>
        </w:rPr>
        <w:t>odvratila od t</w:t>
      </w:r>
      <w:r w:rsidR="007D4630" w:rsidRPr="006D1E2E">
        <w:rPr>
          <w:sz w:val="24"/>
          <w:szCs w:val="24"/>
        </w:rPr>
        <w:t>oga.</w:t>
      </w:r>
      <w:r w:rsidR="00E10D1D" w:rsidRPr="006D1E2E">
        <w:rPr>
          <w:sz w:val="24"/>
          <w:szCs w:val="24"/>
        </w:rPr>
        <w:t xml:space="preserve"> Iako bi pretjerano reći da je sufinanciranje smještaja</w:t>
      </w:r>
      <w:r w:rsidR="00481016" w:rsidRPr="006D1E2E">
        <w:rPr>
          <w:sz w:val="24"/>
          <w:szCs w:val="24"/>
        </w:rPr>
        <w:t xml:space="preserve"> u tome bilo odlučujući čimbenik,</w:t>
      </w:r>
      <w:r w:rsidR="00B648A2" w:rsidRPr="006D1E2E">
        <w:rPr>
          <w:sz w:val="24"/>
          <w:szCs w:val="24"/>
        </w:rPr>
        <w:t xml:space="preserve"> čini se da u tom pogledu stvari ipak kreću na bolje. Naime, od početka 2020. pa do pisanja ovog izvještaja nadležni županijski Upravni odjel izdao je Zakonom predviđenu licencu za početak rada za </w:t>
      </w:r>
      <w:r w:rsidR="007A1CC0" w:rsidRPr="006D1E2E">
        <w:rPr>
          <w:sz w:val="24"/>
          <w:szCs w:val="24"/>
        </w:rPr>
        <w:t>četiri nova doma, za proširenje jednog doma, a u složenom postupku za ishođenje licence je još nekoliko domova. Informacije s terena govore da je u fazi izgradnje i dovršetka izgradnje još nekoliko njih.</w:t>
      </w:r>
    </w:p>
    <w:p w:rsidR="00ED6C05" w:rsidRPr="006D1E2E" w:rsidRDefault="00ED6C05" w:rsidP="00B30745">
      <w:pPr>
        <w:spacing w:line="300" w:lineRule="exact"/>
        <w:rPr>
          <w:sz w:val="24"/>
          <w:szCs w:val="24"/>
        </w:rPr>
      </w:pPr>
    </w:p>
    <w:p w:rsidR="00ED6C05" w:rsidRPr="006D1E2E" w:rsidRDefault="00ED6C05" w:rsidP="00B30745">
      <w:pPr>
        <w:spacing w:line="300" w:lineRule="exact"/>
        <w:rPr>
          <w:sz w:val="24"/>
          <w:szCs w:val="24"/>
        </w:rPr>
      </w:pPr>
    </w:p>
    <w:p w:rsidR="00ED6C05" w:rsidRPr="006D1E2E" w:rsidRDefault="00ED6C05" w:rsidP="00B30745">
      <w:pPr>
        <w:spacing w:line="300" w:lineRule="exact"/>
        <w:rPr>
          <w:sz w:val="24"/>
          <w:szCs w:val="24"/>
        </w:rPr>
      </w:pPr>
    </w:p>
    <w:sectPr w:rsidR="00ED6C05" w:rsidRPr="006D1E2E" w:rsidSect="00657B3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0C" w:rsidRDefault="0018420C" w:rsidP="00657B33">
      <w:r>
        <w:separator/>
      </w:r>
    </w:p>
  </w:endnote>
  <w:endnote w:type="continuationSeparator" w:id="0">
    <w:p w:rsidR="0018420C" w:rsidRDefault="0018420C" w:rsidP="0065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7597"/>
      <w:docPartObj>
        <w:docPartGallery w:val="Page Numbers (Bottom of Page)"/>
        <w:docPartUnique/>
      </w:docPartObj>
    </w:sdtPr>
    <w:sdtContent>
      <w:p w:rsidR="00657B33" w:rsidRDefault="00B70906">
        <w:pPr>
          <w:pStyle w:val="Podnoje"/>
          <w:jc w:val="center"/>
        </w:pPr>
        <w:fldSimple w:instr=" PAGE   \* MERGEFORMAT ">
          <w:r w:rsidR="009B6B7F">
            <w:rPr>
              <w:noProof/>
            </w:rPr>
            <w:t>1</w:t>
          </w:r>
        </w:fldSimple>
      </w:p>
    </w:sdtContent>
  </w:sdt>
  <w:p w:rsidR="00657B33" w:rsidRDefault="00657B3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0C" w:rsidRDefault="0018420C" w:rsidP="00657B33">
      <w:r>
        <w:separator/>
      </w:r>
    </w:p>
  </w:footnote>
  <w:footnote w:type="continuationSeparator" w:id="0">
    <w:p w:rsidR="0018420C" w:rsidRDefault="0018420C" w:rsidP="0065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CA8"/>
    <w:multiLevelType w:val="hybridMultilevel"/>
    <w:tmpl w:val="9AB00006"/>
    <w:lvl w:ilvl="0" w:tplc="16AE7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B44A8"/>
    <w:multiLevelType w:val="singleLevel"/>
    <w:tmpl w:val="54B40F32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43"/>
    <w:rsid w:val="000623DE"/>
    <w:rsid w:val="00097E0A"/>
    <w:rsid w:val="000C606A"/>
    <w:rsid w:val="00136E37"/>
    <w:rsid w:val="001432B0"/>
    <w:rsid w:val="00151D3A"/>
    <w:rsid w:val="001541FF"/>
    <w:rsid w:val="0018420C"/>
    <w:rsid w:val="001E75D5"/>
    <w:rsid w:val="001F422D"/>
    <w:rsid w:val="00210CDA"/>
    <w:rsid w:val="002B2444"/>
    <w:rsid w:val="002C3C43"/>
    <w:rsid w:val="002C5142"/>
    <w:rsid w:val="002D70B7"/>
    <w:rsid w:val="003110FB"/>
    <w:rsid w:val="0039150D"/>
    <w:rsid w:val="003A01F0"/>
    <w:rsid w:val="003A42EC"/>
    <w:rsid w:val="003B734F"/>
    <w:rsid w:val="003E23CB"/>
    <w:rsid w:val="003E514A"/>
    <w:rsid w:val="004313F1"/>
    <w:rsid w:val="00440F09"/>
    <w:rsid w:val="00481016"/>
    <w:rsid w:val="004E1729"/>
    <w:rsid w:val="005029C7"/>
    <w:rsid w:val="005155A9"/>
    <w:rsid w:val="00517C94"/>
    <w:rsid w:val="00520C2B"/>
    <w:rsid w:val="00564536"/>
    <w:rsid w:val="005A051A"/>
    <w:rsid w:val="005D5B20"/>
    <w:rsid w:val="0060002E"/>
    <w:rsid w:val="0060133A"/>
    <w:rsid w:val="00657B33"/>
    <w:rsid w:val="00666A03"/>
    <w:rsid w:val="00684848"/>
    <w:rsid w:val="006D1E2E"/>
    <w:rsid w:val="006E6A2B"/>
    <w:rsid w:val="007962F9"/>
    <w:rsid w:val="007A1CC0"/>
    <w:rsid w:val="007D4630"/>
    <w:rsid w:val="007E13D3"/>
    <w:rsid w:val="0082213D"/>
    <w:rsid w:val="008772CA"/>
    <w:rsid w:val="008B6F4B"/>
    <w:rsid w:val="008C2B58"/>
    <w:rsid w:val="008F3A13"/>
    <w:rsid w:val="008F66AD"/>
    <w:rsid w:val="00912833"/>
    <w:rsid w:val="00985678"/>
    <w:rsid w:val="009B43E4"/>
    <w:rsid w:val="009B6B7F"/>
    <w:rsid w:val="009F1EC5"/>
    <w:rsid w:val="00AE41B7"/>
    <w:rsid w:val="00B05424"/>
    <w:rsid w:val="00B30745"/>
    <w:rsid w:val="00B648A2"/>
    <w:rsid w:val="00B70906"/>
    <w:rsid w:val="00B70FDE"/>
    <w:rsid w:val="00B8668D"/>
    <w:rsid w:val="00BE5DB5"/>
    <w:rsid w:val="00BF57FA"/>
    <w:rsid w:val="00C8481A"/>
    <w:rsid w:val="00CF20AE"/>
    <w:rsid w:val="00D15260"/>
    <w:rsid w:val="00D72B3B"/>
    <w:rsid w:val="00D91568"/>
    <w:rsid w:val="00DC088F"/>
    <w:rsid w:val="00E04B8A"/>
    <w:rsid w:val="00E10D1D"/>
    <w:rsid w:val="00E740EE"/>
    <w:rsid w:val="00EB0279"/>
    <w:rsid w:val="00ED6C05"/>
    <w:rsid w:val="00F1300F"/>
    <w:rsid w:val="00F35458"/>
    <w:rsid w:val="00F76215"/>
    <w:rsid w:val="00FB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F3A13"/>
    <w:pPr>
      <w:keepNext/>
      <w:tabs>
        <w:tab w:val="center" w:pos="6804"/>
      </w:tabs>
      <w:ind w:left="360"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F3A13"/>
    <w:rPr>
      <w:rFonts w:ascii="Arial" w:eastAsia="Times New Roman" w:hAnsi="Arial" w:cs="Arial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564536"/>
    <w:pPr>
      <w:spacing w:before="100" w:beforeAutospacing="1" w:after="100" w:afterAutospacing="1"/>
    </w:pPr>
    <w:rPr>
      <w:sz w:val="24"/>
      <w:szCs w:val="24"/>
    </w:rPr>
  </w:style>
  <w:style w:type="character" w:styleId="Istaknuto">
    <w:name w:val="Emphasis"/>
    <w:basedOn w:val="Zadanifontodlomka"/>
    <w:uiPriority w:val="20"/>
    <w:qFormat/>
    <w:rsid w:val="00564536"/>
    <w:rPr>
      <w:i/>
      <w:iCs/>
    </w:rPr>
  </w:style>
  <w:style w:type="paragraph" w:styleId="Odlomakpopisa">
    <w:name w:val="List Paragraph"/>
    <w:basedOn w:val="Normal"/>
    <w:uiPriority w:val="34"/>
    <w:qFormat/>
    <w:rsid w:val="00564536"/>
    <w:pPr>
      <w:ind w:left="720"/>
      <w:contextualSpacing/>
    </w:pPr>
    <w:rPr>
      <w:lang w:val="en-US"/>
    </w:rPr>
  </w:style>
  <w:style w:type="character" w:customStyle="1" w:styleId="st">
    <w:name w:val="st"/>
    <w:basedOn w:val="Zadanifontodlomka"/>
    <w:rsid w:val="00564536"/>
  </w:style>
  <w:style w:type="paragraph" w:styleId="Tekstbalonia">
    <w:name w:val="Balloon Text"/>
    <w:basedOn w:val="Normal"/>
    <w:link w:val="TekstbaloniaChar"/>
    <w:uiPriority w:val="99"/>
    <w:semiHidden/>
    <w:unhideWhenUsed/>
    <w:rsid w:val="009F1E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EC5"/>
    <w:rPr>
      <w:rFonts w:ascii="Tahoma" w:eastAsia="Times New Roman" w:hAnsi="Tahoma" w:cs="Tahoma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rsid w:val="005029C7"/>
    <w:pPr>
      <w:tabs>
        <w:tab w:val="center" w:pos="6804"/>
      </w:tabs>
      <w:spacing w:line="500" w:lineRule="exact"/>
      <w:jc w:val="center"/>
    </w:pPr>
    <w:rPr>
      <w:rFonts w:ascii="Arial" w:hAnsi="Arial"/>
      <w:sz w:val="3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5029C7"/>
    <w:rPr>
      <w:rFonts w:ascii="Arial" w:eastAsia="Times New Roman" w:hAnsi="Arial" w:cs="Times New Roman"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57B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7B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7B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7B3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Sufinanciranje prema organizacijskom obliku doma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ustanove; </a:t>
                    </a:r>
                    <a:r>
                      <a:rPr lang="hr-HR"/>
                      <a:t>80 ili </a:t>
                    </a:r>
                    <a:r>
                      <a:rPr lang="en-US"/>
                      <a:t>37,3%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pravne osobe i obrti; </a:t>
                    </a:r>
                    <a:r>
                      <a:rPr lang="hr-HR"/>
                      <a:t>40 ili </a:t>
                    </a:r>
                    <a:r>
                      <a:rPr lang="en-US"/>
                      <a:t>18,7%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obiteljski domovi; </a:t>
                    </a:r>
                    <a:r>
                      <a:rPr lang="hr-HR"/>
                      <a:t>94</a:t>
                    </a:r>
                    <a:r>
                      <a:rPr lang="hr-HR" baseline="0"/>
                      <a:t> ili </a:t>
                    </a:r>
                    <a:r>
                      <a:rPr lang="en-US"/>
                      <a:t>44%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List1!$A$2:$A$4</c:f>
              <c:strCache>
                <c:ptCount val="3"/>
                <c:pt idx="0">
                  <c:v>ustanove</c:v>
                </c:pt>
                <c:pt idx="1">
                  <c:v>pravne osobe i obrti</c:v>
                </c:pt>
                <c:pt idx="2">
                  <c:v>obiteljski domovi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0.37300000000000083</c:v>
                </c:pt>
                <c:pt idx="1">
                  <c:v>0.18700000000000044</c:v>
                </c:pt>
                <c:pt idx="2" formatCode="0%">
                  <c:v>0.44000000000000039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hr-HR"/>
                      <a:t>koprivničko područje 93 ili </a:t>
                    </a:r>
                    <a:r>
                      <a:rPr lang="en-US"/>
                      <a:t>43,5%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8049440434529126"/>
                  <c:y val="-0.12773715785526868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križevačko područje 90 ili </a:t>
                    </a:r>
                    <a:r>
                      <a:rPr lang="en-US"/>
                      <a:t>42%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7.3755741469816283E-2"/>
                  <c:y val="0.12484314460692419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đurđevačko područje 31 ili </a:t>
                    </a:r>
                    <a:r>
                      <a:rPr lang="en-US"/>
                      <a:t>14,5%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List1!$A$2:$A$4</c:f>
              <c:strCache>
                <c:ptCount val="3"/>
                <c:pt idx="0">
                  <c:v>koprivničko područje</c:v>
                </c:pt>
                <c:pt idx="1">
                  <c:v>križevačko područje</c:v>
                </c:pt>
                <c:pt idx="2">
                  <c:v>đurđevačko područje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 formatCode="0.00%">
                  <c:v>0.43500000000000083</c:v>
                </c:pt>
                <c:pt idx="1">
                  <c:v>0.42000000000000032</c:v>
                </c:pt>
                <c:pt idx="2" formatCode="0.00%">
                  <c:v>0.14500000000000021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ABAC-0FB3-45C0-AAF2-2DA7B22B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2021-05-28T11:27:00Z</cp:lastPrinted>
  <dcterms:created xsi:type="dcterms:W3CDTF">2021-03-12T12:28:00Z</dcterms:created>
  <dcterms:modified xsi:type="dcterms:W3CDTF">2021-06-08T06:42:00Z</dcterms:modified>
</cp:coreProperties>
</file>