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B864AC" w:rsidRPr="006F1CE1" w:rsidTr="00B864AC">
        <w:trPr>
          <w:trHeight w:val="567"/>
        </w:trPr>
        <w:tc>
          <w:tcPr>
            <w:tcW w:w="9288" w:type="dxa"/>
            <w:gridSpan w:val="2"/>
          </w:tcPr>
          <w:p w:rsidR="00B864AC" w:rsidRPr="006F1CE1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CE1">
              <w:rPr>
                <w:rFonts w:ascii="Times New Roman" w:hAnsi="Times New Roman" w:cs="Times New Roman"/>
                <w:b/>
                <w:sz w:val="24"/>
                <w:szCs w:val="24"/>
              </w:rPr>
              <w:t>DOKUMENT ZA INTERNETSKO SAVJETOVANJE O NACRTU OPĆEG AKTA</w:t>
            </w:r>
          </w:p>
        </w:tc>
      </w:tr>
      <w:tr w:rsidR="00B864AC" w:rsidRPr="006F1CE1" w:rsidTr="00B864AC">
        <w:trPr>
          <w:trHeight w:val="547"/>
        </w:trPr>
        <w:tc>
          <w:tcPr>
            <w:tcW w:w="9288" w:type="dxa"/>
            <w:gridSpan w:val="2"/>
          </w:tcPr>
          <w:p w:rsidR="00611129" w:rsidRPr="006F1CE1" w:rsidRDefault="00B864AC" w:rsidP="00352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CE1">
              <w:rPr>
                <w:rFonts w:ascii="Times New Roman" w:hAnsi="Times New Roman" w:cs="Times New Roman"/>
                <w:b/>
                <w:sz w:val="24"/>
                <w:szCs w:val="24"/>
              </w:rPr>
              <w:t>Nacrt</w:t>
            </w:r>
          </w:p>
          <w:p w:rsidR="00B62829" w:rsidRDefault="00B62829" w:rsidP="00C31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Plana razvoja Koprivničko-križevačke županije</w:t>
            </w:r>
          </w:p>
          <w:p w:rsidR="0008226F" w:rsidRPr="006F1CE1" w:rsidRDefault="00B62829" w:rsidP="00C31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 razdoblje 2021.-2027. </w:t>
            </w:r>
            <w:r w:rsidR="00097F57" w:rsidRPr="006F1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864AC" w:rsidRPr="006F1CE1" w:rsidTr="00B864AC">
        <w:trPr>
          <w:trHeight w:val="555"/>
        </w:trPr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:rsidR="00B864AC" w:rsidRPr="006F1CE1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64AC" w:rsidRPr="006F1CE1" w:rsidRDefault="00B864AC" w:rsidP="002D4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CE1">
              <w:rPr>
                <w:rFonts w:ascii="Times New Roman" w:hAnsi="Times New Roman" w:cs="Times New Roman"/>
                <w:b/>
                <w:sz w:val="24"/>
                <w:szCs w:val="24"/>
              </w:rPr>
              <w:t>KOPRIVNIČKO-KRIŽEVAČKA ŽUPANIJA</w:t>
            </w:r>
          </w:p>
          <w:p w:rsidR="00546D6E" w:rsidRPr="006F1CE1" w:rsidRDefault="00546D6E" w:rsidP="002D4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64AC" w:rsidRPr="006F1CE1" w:rsidTr="009F07ED">
        <w:trPr>
          <w:trHeight w:val="703"/>
        </w:trPr>
        <w:tc>
          <w:tcPr>
            <w:tcW w:w="4644" w:type="dxa"/>
          </w:tcPr>
          <w:p w:rsidR="00B864AC" w:rsidRPr="006F1CE1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CE1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</w:t>
            </w:r>
          </w:p>
          <w:p w:rsidR="00345631" w:rsidRPr="006F1CE1" w:rsidRDefault="00B62829" w:rsidP="001A0F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 listopada</w:t>
            </w:r>
            <w:r w:rsidR="009C70FD" w:rsidRPr="006F1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C4FD1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="00345631" w:rsidRPr="006F1CE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44" w:type="dxa"/>
          </w:tcPr>
          <w:p w:rsidR="00B864AC" w:rsidRPr="006F1CE1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CE1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</w:t>
            </w:r>
          </w:p>
          <w:p w:rsidR="00345631" w:rsidRPr="006F1CE1" w:rsidRDefault="00314F19" w:rsidP="00C31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="004525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62829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1A0F7B" w:rsidRPr="006F1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B62829">
              <w:rPr>
                <w:rFonts w:ascii="Times New Roman" w:hAnsi="Times New Roman" w:cs="Times New Roman"/>
                <w:b/>
                <w:sz w:val="24"/>
                <w:szCs w:val="24"/>
              </w:rPr>
              <w:t>studenoga</w:t>
            </w:r>
            <w:r w:rsidR="00C937BA" w:rsidRPr="006F1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B1D70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="00345631" w:rsidRPr="006F1CE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1E50EB" w:rsidRDefault="001E50EB" w:rsidP="00B864AC">
      <w:pPr>
        <w:rPr>
          <w:rFonts w:ascii="Times New Roman" w:hAnsi="Times New Roman" w:cs="Times New Roman"/>
          <w:sz w:val="24"/>
          <w:szCs w:val="24"/>
        </w:rPr>
      </w:pPr>
    </w:p>
    <w:p w:rsidR="006A5796" w:rsidRPr="006F1CE1" w:rsidRDefault="005E4A45" w:rsidP="00B864AC">
      <w:pPr>
        <w:rPr>
          <w:rFonts w:ascii="Times New Roman" w:hAnsi="Times New Roman" w:cs="Times New Roman"/>
          <w:sz w:val="24"/>
          <w:szCs w:val="24"/>
        </w:rPr>
      </w:pPr>
      <w:r w:rsidRPr="006F1CE1">
        <w:rPr>
          <w:rFonts w:ascii="Times New Roman" w:hAnsi="Times New Roman" w:cs="Times New Roman"/>
          <w:sz w:val="24"/>
          <w:szCs w:val="24"/>
        </w:rPr>
        <w:t xml:space="preserve">RAZLOG DONOŠENJA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5E4A45" w:rsidRPr="006F1CE1" w:rsidTr="002770A7">
        <w:trPr>
          <w:trHeight w:val="2516"/>
        </w:trPr>
        <w:tc>
          <w:tcPr>
            <w:tcW w:w="9288" w:type="dxa"/>
          </w:tcPr>
          <w:p w:rsidR="00A4702E" w:rsidRDefault="00A4702E" w:rsidP="00CE1AE8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 razvoja Koprivničko-križevačke županije za razdoblje 2021.-2027. akt je strateškog planiranja koji se donosi s ciljem poboljšanja kvalitete života stanovništva Koprivničko-križevačke županije</w:t>
            </w:r>
            <w:r w:rsidR="006A23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7ADB" w:rsidRDefault="00A4702E" w:rsidP="00CE1AE8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Sukladno članku 23. Zakona o sustavu strateškog planiranja i upravljanja razvojem Republike Hrvatske (NN 123/17) definirana je obveza izrade planova razvoja jedinica područne (regionalne) samouprave. Plan razvoja Koprivničko-križevačke županije za razdoblje 2021.-2027. srednjoročni je akt strateškog planiranja</w:t>
            </w:r>
            <w:r w:rsidR="001D7A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kojim se definiraju posebni ciljevi za provedbu strateških ciljeva Nacionalne razvojne strategije Republike Hrvatske do 2030. godine</w:t>
            </w:r>
            <w:r w:rsidR="00DA2DF7">
              <w:rPr>
                <w:rFonts w:ascii="Times New Roman" w:hAnsi="Times New Roman" w:cs="Times New Roman"/>
                <w:sz w:val="24"/>
                <w:szCs w:val="24"/>
              </w:rPr>
              <w:t xml:space="preserve"> (dalje u tekstu: Nacionalna razvojna strategija)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 sektorskih i višesektorskih strategija. </w:t>
            </w:r>
          </w:p>
          <w:p w:rsidR="00A4702E" w:rsidRDefault="00A4702E" w:rsidP="00CE1AE8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Donosi ga Županijska skupština Koprivničko-križevačke županije</w:t>
            </w:r>
            <w:r w:rsidR="001D7ADB">
              <w:rPr>
                <w:rFonts w:ascii="Times New Roman" w:hAnsi="Times New Roman" w:cs="Times New Roman"/>
                <w:sz w:val="24"/>
                <w:szCs w:val="24"/>
              </w:rPr>
              <w:t>,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nakon što ga je prethodno prihvatilo Partnersko vijeće Koprivničko-križevačke županije za razdoblje 2021.-2027. kao savjetodavno tijelo i nakon što je provedeno savjetovanje sa zainteresiranom javnošću. Izrađen je po načelima točnosti i cjelovitosti, učinkovitosti i djelotvornosti, odgovornosti i usmjerenosti na rezultat, održivosti te partnerstva i transparentnosti. </w:t>
            </w:r>
          </w:p>
          <w:p w:rsidR="00A4702E" w:rsidRDefault="00A4702E" w:rsidP="00CE1AE8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Člankom 11. Uredbe o smjernicama za izradu akata strateškog planiranja od nacionalnog značaja i od značaja za jedinice lokalne i područne (regionalne) samouprave (NN 123/17) te Uputama za izradu planova razvoja jedinica područne (regionalne) samouprave Ministarstva regionalnoga razvoja i fondova Europske unije definiran je obvezni sadržaj srednjoročnih akata strateškog planiranja.</w:t>
            </w:r>
          </w:p>
          <w:p w:rsidR="00A4702E" w:rsidRDefault="00A4702E" w:rsidP="00CE1AE8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Sukladno navedenom, osnovni dijelovi Plana razvoja Koprivničko-križevačke županije za razdoblje 2021.-2027. godina</w:t>
            </w:r>
            <w:r w:rsidR="006A2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su:</w:t>
            </w:r>
          </w:p>
          <w:p w:rsidR="00A4702E" w:rsidRDefault="00A4702E" w:rsidP="00A4702E">
            <w:pPr>
              <w:pStyle w:val="Odlomakpopisa"/>
              <w:numPr>
                <w:ilvl w:val="0"/>
                <w:numId w:val="6"/>
              </w:numPr>
              <w:spacing w:after="1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Srednjoročna vizija razvoja usklađena s Nacionalnom razvojnom strategijom Republike Hrvatske za razdoblje do 2030. godine;</w:t>
            </w:r>
          </w:p>
          <w:p w:rsidR="00A4702E" w:rsidRDefault="00A4702E" w:rsidP="00A4702E">
            <w:pPr>
              <w:pStyle w:val="Odlomakpopisa"/>
              <w:numPr>
                <w:ilvl w:val="0"/>
                <w:numId w:val="6"/>
              </w:numPr>
              <w:spacing w:after="1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 razvojnih potreba i potencijala u srednjoročnom razdoblju;</w:t>
            </w:r>
          </w:p>
          <w:p w:rsidR="00A4702E" w:rsidRDefault="00A4702E" w:rsidP="00A4702E">
            <w:pPr>
              <w:pStyle w:val="Odlomakpopisa"/>
              <w:numPr>
                <w:ilvl w:val="0"/>
                <w:numId w:val="6"/>
              </w:numPr>
              <w:spacing w:after="1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 prioriteta javnih politika u srednjoročnom razvoju;</w:t>
            </w:r>
          </w:p>
          <w:p w:rsidR="00A4702E" w:rsidRDefault="00A4702E" w:rsidP="00A4702E">
            <w:pPr>
              <w:pStyle w:val="Odlomakpopisa"/>
              <w:numPr>
                <w:ilvl w:val="0"/>
                <w:numId w:val="6"/>
              </w:numPr>
              <w:spacing w:after="1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Popis posebnih ciljeva s opisom, pripadajućim pokazateljima ishoda i popisom mjera za provedbu;</w:t>
            </w:r>
          </w:p>
          <w:p w:rsidR="00A4702E" w:rsidRDefault="00A4702E" w:rsidP="00A4702E">
            <w:pPr>
              <w:pStyle w:val="Odlomakpopisa"/>
              <w:numPr>
                <w:ilvl w:val="0"/>
                <w:numId w:val="6"/>
              </w:numPr>
              <w:spacing w:after="1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Terminski plan provedbe projekata od strateškog značaja za lokalnu i područnu (regionalnu samoupravu) s naznačenim ključnim koracima i rokovima u provedbi;</w:t>
            </w:r>
          </w:p>
          <w:p w:rsidR="00A4702E" w:rsidRDefault="00A4702E" w:rsidP="00A4702E">
            <w:pPr>
              <w:pStyle w:val="Odlomakpopisa"/>
              <w:numPr>
                <w:ilvl w:val="0"/>
                <w:numId w:val="6"/>
              </w:numPr>
              <w:spacing w:after="1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Indikativni financijski plan s prikazom financijskih pretpostavki za provedbu posebnih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ciljeva;</w:t>
            </w:r>
          </w:p>
          <w:p w:rsidR="00E510F0" w:rsidRDefault="00A4702E" w:rsidP="00E510F0">
            <w:pPr>
              <w:pStyle w:val="Odlomakpopisa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Okvir za praćenje i vrednovanje.</w:t>
            </w:r>
          </w:p>
          <w:p w:rsidR="00E510F0" w:rsidRPr="00E510F0" w:rsidRDefault="00E510F0" w:rsidP="00E510F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DF7" w:rsidRPr="00E510F0" w:rsidRDefault="00E510F0" w:rsidP="00E510F0">
            <w:pPr>
              <w:pStyle w:val="Odlomakpopisa"/>
              <w:numPr>
                <w:ilvl w:val="0"/>
                <w:numId w:val="13"/>
              </w:numPr>
              <w:spacing w:after="160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Pr="00E510F0">
              <w:rPr>
                <w:rFonts w:ascii="Times New Roman" w:hAnsi="Times New Roman" w:cs="Times New Roman"/>
                <w:sz w:val="24"/>
                <w:szCs w:val="24"/>
              </w:rPr>
              <w:t>oglavlje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 dokumenta </w:t>
            </w:r>
            <w:r w:rsidRPr="00E510F0">
              <w:rPr>
                <w:rFonts w:ascii="Times New Roman" w:hAnsi="Times New Roman" w:cs="Times New Roman"/>
                <w:sz w:val="24"/>
                <w:szCs w:val="24"/>
              </w:rPr>
              <w:t>definirana je  s</w:t>
            </w:r>
            <w:r w:rsidR="00DA2DF7" w:rsidRPr="00E510F0">
              <w:rPr>
                <w:rFonts w:ascii="Times New Roman" w:hAnsi="Times New Roman" w:cs="Times New Roman"/>
                <w:sz w:val="24"/>
                <w:szCs w:val="24"/>
              </w:rPr>
              <w:t xml:space="preserve">rednjoročna vizija razvoja Koprivničko-križevačke županije do 2027. godine,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DA2DF7" w:rsidRPr="00E510F0">
              <w:rPr>
                <w:rFonts w:ascii="Times New Roman" w:hAnsi="Times New Roman" w:cs="Times New Roman"/>
                <w:sz w:val="24"/>
                <w:szCs w:val="24"/>
              </w:rPr>
              <w:t xml:space="preserve"> usklađena s Nacionalnom razvojnom strategijom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A2DF7" w:rsidRPr="00E51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Vizija je gospodarski </w:t>
            </w:r>
            <w:r w:rsidR="00DA2DF7" w:rsidRPr="00E510F0">
              <w:rPr>
                <w:rFonts w:ascii="Times New Roman" w:hAnsi="Times New Roman" w:cs="Times New Roman"/>
                <w:sz w:val="24"/>
                <w:szCs w:val="24"/>
              </w:rPr>
              <w:t xml:space="preserve"> snažna, zelena i povezana županija, županija prepoznatljivog identiteta, prirodne i kulturne baštine, prosperitetna za život i rad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koja se</w:t>
            </w:r>
            <w:r w:rsidR="00DA2DF7" w:rsidRPr="00E510F0">
              <w:rPr>
                <w:rFonts w:ascii="Times New Roman" w:hAnsi="Times New Roman" w:cs="Times New Roman"/>
                <w:sz w:val="24"/>
                <w:szCs w:val="24"/>
              </w:rPr>
              <w:t xml:space="preserve"> planira ostvariti kroz 3. posebna cilja i to: </w:t>
            </w:r>
          </w:p>
          <w:p w:rsidR="00DA2DF7" w:rsidRDefault="00DA2DF7" w:rsidP="00DA2DF7">
            <w:pPr>
              <w:pStyle w:val="Odlomakpopisa"/>
              <w:numPr>
                <w:ilvl w:val="0"/>
                <w:numId w:val="7"/>
              </w:num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POVEZANIJA ŽUPANIJA KRUŽNOG GOSPODARSTVA</w:t>
            </w:r>
          </w:p>
          <w:p w:rsidR="00DA2DF7" w:rsidRDefault="00DA2DF7" w:rsidP="00DA2DF7">
            <w:pPr>
              <w:pStyle w:val="Odlomakpopisa"/>
              <w:numPr>
                <w:ilvl w:val="0"/>
                <w:numId w:val="7"/>
              </w:num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SOCIJALNO OSJETLJIVA ŽUPANIJA</w:t>
            </w:r>
          </w:p>
          <w:p w:rsidR="00DA2DF7" w:rsidRDefault="00DA2DF7" w:rsidP="00DA2DF7">
            <w:pPr>
              <w:pStyle w:val="Odlomakpopisa"/>
              <w:numPr>
                <w:ilvl w:val="0"/>
                <w:numId w:val="7"/>
              </w:num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PAMETNA I ZELENA ŽUPANIJA</w:t>
            </w:r>
          </w:p>
          <w:p w:rsidR="00834DD1" w:rsidRDefault="00DA2DF7" w:rsidP="00CE1AE8">
            <w:pPr>
              <w:spacing w:after="16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Nakon definiranja posebnih ciljeva Plana razvoja, u II. d</w:t>
            </w:r>
            <w:r w:rsidR="00834DD1">
              <w:rPr>
                <w:rFonts w:ascii="Times New Roman" w:hAnsi="Times New Roman" w:cs="Times New Roman"/>
                <w:sz w:val="24"/>
                <w:szCs w:val="24"/>
              </w:rPr>
              <w:t xml:space="preserve">ijelu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dokumenta prikazan</w:t>
            </w:r>
            <w:r w:rsidR="00CE1AE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je analiza stanja, odnosno</w:t>
            </w:r>
            <w:r w:rsidR="00834DD1">
              <w:rPr>
                <w:rFonts w:ascii="Times New Roman" w:hAnsi="Times New Roman" w:cs="Times New Roman"/>
                <w:sz w:val="24"/>
                <w:szCs w:val="24"/>
              </w:rPr>
              <w:t xml:space="preserve"> opis razvojnih potreba i razvojnih potencijala u odnosu na:</w:t>
            </w:r>
          </w:p>
          <w:p w:rsidR="00834DD1" w:rsidRDefault="00834DD1" w:rsidP="00834DD1">
            <w:pPr>
              <w:pStyle w:val="Odlomakpopisa"/>
              <w:numPr>
                <w:ilvl w:val="0"/>
                <w:numId w:val="8"/>
              </w:num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Položaj, statističku podjelu i administrativni ustroj</w:t>
            </w:r>
          </w:p>
          <w:p w:rsidR="00834DD1" w:rsidRDefault="00834DD1" w:rsidP="00834DD1">
            <w:pPr>
              <w:pStyle w:val="Odlomakpopisa"/>
              <w:numPr>
                <w:ilvl w:val="0"/>
                <w:numId w:val="8"/>
              </w:num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Demografiju i društvo</w:t>
            </w:r>
          </w:p>
          <w:p w:rsidR="00834DD1" w:rsidRDefault="00834DD1" w:rsidP="00834DD1">
            <w:pPr>
              <w:pStyle w:val="Odlomakpopisa"/>
              <w:numPr>
                <w:ilvl w:val="0"/>
                <w:numId w:val="8"/>
              </w:num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Socijalnu infrastrukturu</w:t>
            </w:r>
          </w:p>
          <w:p w:rsidR="00834DD1" w:rsidRDefault="00834DD1" w:rsidP="00834DD1">
            <w:pPr>
              <w:pStyle w:val="Odlomakpopisa"/>
              <w:numPr>
                <w:ilvl w:val="0"/>
                <w:numId w:val="8"/>
              </w:num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Zdravstvenu infrastrukturu</w:t>
            </w:r>
          </w:p>
          <w:p w:rsidR="00834DD1" w:rsidRDefault="00834DD1" w:rsidP="00834DD1">
            <w:pPr>
              <w:pStyle w:val="Odlomakpopisa"/>
              <w:numPr>
                <w:ilvl w:val="0"/>
                <w:numId w:val="8"/>
              </w:num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Obrazovanu i kulturnu infrastrukturu</w:t>
            </w:r>
          </w:p>
          <w:p w:rsidR="00834DD1" w:rsidRDefault="00834DD1" w:rsidP="00834DD1">
            <w:pPr>
              <w:pStyle w:val="Odlomakpopisa"/>
              <w:numPr>
                <w:ilvl w:val="0"/>
                <w:numId w:val="8"/>
              </w:num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Civilnu zaštitu i sigurnost</w:t>
            </w:r>
          </w:p>
          <w:p w:rsidR="00834DD1" w:rsidRDefault="00834DD1" w:rsidP="00834DD1">
            <w:pPr>
              <w:pStyle w:val="Odlomakpopisa"/>
              <w:numPr>
                <w:ilvl w:val="0"/>
                <w:numId w:val="8"/>
              </w:num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Gospodarstvo</w:t>
            </w:r>
          </w:p>
          <w:p w:rsidR="00834DD1" w:rsidRDefault="00834DD1" w:rsidP="00834DD1">
            <w:pPr>
              <w:pStyle w:val="Odlomakpopisa"/>
              <w:numPr>
                <w:ilvl w:val="0"/>
                <w:numId w:val="8"/>
              </w:num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Infrastrukturu</w:t>
            </w:r>
          </w:p>
          <w:p w:rsidR="00834DD1" w:rsidRDefault="00834DD1" w:rsidP="00834DD1">
            <w:pPr>
              <w:pStyle w:val="Odlomakpopisa"/>
              <w:numPr>
                <w:ilvl w:val="0"/>
                <w:numId w:val="8"/>
              </w:num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Stanje okoliša</w:t>
            </w:r>
          </w:p>
          <w:p w:rsidR="00834DD1" w:rsidRDefault="00834DD1" w:rsidP="00834DD1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Nadalje obrađena su potpomognuta, brdsko-planinska područja kao i urbano područje Koprivnica. Definiran je institu</w:t>
            </w:r>
            <w:r w:rsidR="002A2BDB">
              <w:rPr>
                <w:rFonts w:ascii="Times New Roman" w:hAnsi="Times New Roman" w:cs="Times New Roman"/>
                <w:sz w:val="24"/>
                <w:szCs w:val="24"/>
              </w:rPr>
              <w:t>cionalni okvir te je prikazana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wot analiza.</w:t>
            </w:r>
          </w:p>
          <w:p w:rsidR="003A44BE" w:rsidRDefault="003A44BE" w:rsidP="00CE1AE8">
            <w:pPr>
              <w:spacing w:after="16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="00CD2A7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dijelu  Plana razvoja, u okviru tri posebna cilja definirani su</w:t>
            </w:r>
            <w:r w:rsidR="00CD2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prioriteti koji će doprinijeti ostvarenju razvoja Koprivničko-križevačke županije.</w:t>
            </w:r>
          </w:p>
          <w:p w:rsidR="00BC6824" w:rsidRDefault="003A44BE" w:rsidP="00834DD1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C6824">
              <w:rPr>
                <w:rFonts w:ascii="Times New Roman" w:hAnsi="Times New Roman" w:cs="Times New Roman"/>
                <w:sz w:val="24"/>
                <w:szCs w:val="24"/>
              </w:rPr>
              <w:t>osebni</w:t>
            </w:r>
            <w:r w:rsidR="00CE1AE8">
              <w:rPr>
                <w:rFonts w:ascii="Times New Roman" w:hAnsi="Times New Roman" w:cs="Times New Roman"/>
                <w:sz w:val="24"/>
                <w:szCs w:val="24"/>
              </w:rPr>
              <w:t xml:space="preserve"> cilj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POVEZANIJA ŽUPANIJA KRUŽNOG GOSPODRATVO</w:t>
            </w:r>
            <w:r w:rsidR="00BC6824">
              <w:rPr>
                <w:rFonts w:ascii="Times New Roman" w:hAnsi="Times New Roman" w:cs="Times New Roman"/>
                <w:sz w:val="24"/>
                <w:szCs w:val="24"/>
              </w:rPr>
              <w:t xml:space="preserve"> definiran je </w:t>
            </w:r>
            <w:r w:rsidR="00CE1AE8">
              <w:rPr>
                <w:rFonts w:ascii="Times New Roman" w:hAnsi="Times New Roman" w:cs="Times New Roman"/>
                <w:sz w:val="24"/>
                <w:szCs w:val="24"/>
              </w:rPr>
              <w:t>realizacijom sljedećih</w:t>
            </w:r>
            <w:r w:rsidR="00CD2A7E">
              <w:rPr>
                <w:rFonts w:ascii="Times New Roman" w:hAnsi="Times New Roman" w:cs="Times New Roman"/>
                <w:sz w:val="24"/>
                <w:szCs w:val="24"/>
              </w:rPr>
              <w:t xml:space="preserve"> razvojnih prioriteta</w:t>
            </w:r>
            <w:r w:rsidR="00BC682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bookmarkStart w:id="0" w:name="_GoBack"/>
            <w:bookmarkEnd w:id="0"/>
          </w:p>
          <w:p w:rsidR="00BC6824" w:rsidRDefault="00BC6824" w:rsidP="00BC6824">
            <w:pPr>
              <w:pStyle w:val="Odlomakpopisa"/>
              <w:numPr>
                <w:ilvl w:val="1"/>
                <w:numId w:val="9"/>
              </w:num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Razvoj prometne infrastrukture</w:t>
            </w:r>
          </w:p>
          <w:p w:rsidR="00BC6824" w:rsidRDefault="00BC6824" w:rsidP="00BC6824">
            <w:pPr>
              <w:pStyle w:val="Odlomakpopisa"/>
              <w:numPr>
                <w:ilvl w:val="1"/>
                <w:numId w:val="9"/>
              </w:num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Digitalna transformacija</w:t>
            </w:r>
          </w:p>
          <w:p w:rsidR="00BC6824" w:rsidRDefault="00BC6824" w:rsidP="00BC6824">
            <w:pPr>
              <w:pStyle w:val="Odlomakpopisa"/>
              <w:numPr>
                <w:ilvl w:val="1"/>
                <w:numId w:val="9"/>
              </w:num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Razvoj infrastrukture održivog gospodarenja otpadom</w:t>
            </w:r>
          </w:p>
          <w:p w:rsidR="00BC6824" w:rsidRPr="00BC6824" w:rsidRDefault="00BC6824" w:rsidP="00BC6824">
            <w:pPr>
              <w:pStyle w:val="Odlomakpopisa"/>
              <w:numPr>
                <w:ilvl w:val="1"/>
                <w:numId w:val="9"/>
              </w:num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Plinofikacija</w:t>
            </w:r>
          </w:p>
          <w:p w:rsidR="00BC6824" w:rsidRDefault="00BC6824" w:rsidP="00BC6824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824">
              <w:rPr>
                <w:rFonts w:ascii="Times New Roman" w:hAnsi="Times New Roman" w:cs="Times New Roman"/>
                <w:sz w:val="24"/>
                <w:szCs w:val="24"/>
              </w:rPr>
              <w:t>Posebni cilj 2. SOCIJALNO OSJETLJIVA ŽUPANIJA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definiran je</w:t>
            </w:r>
            <w:r w:rsidR="00CE1AE8">
              <w:rPr>
                <w:rFonts w:ascii="Times New Roman" w:hAnsi="Times New Roman" w:cs="Times New Roman"/>
                <w:sz w:val="24"/>
                <w:szCs w:val="24"/>
              </w:rPr>
              <w:t xml:space="preserve"> realizacijom sljedećih razvojnih prioriteta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C6824" w:rsidRDefault="00BC6824" w:rsidP="00BC6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 Unapređenje zdravlja i sigurnosti stanovništva</w:t>
            </w:r>
          </w:p>
          <w:p w:rsidR="00BC6824" w:rsidRDefault="00BC6824" w:rsidP="00BC6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 Aktivna populacijska politika</w:t>
            </w:r>
          </w:p>
          <w:p w:rsidR="00BC6824" w:rsidRDefault="00BC6824" w:rsidP="00BC6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 Upravljanje znanjem do učinkovitih ljudskih potencijala</w:t>
            </w:r>
          </w:p>
          <w:p w:rsidR="00BC6824" w:rsidRDefault="00BC6824" w:rsidP="00BC6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 Razvoj socijalnih usluga</w:t>
            </w:r>
          </w:p>
          <w:p w:rsidR="00CE1AE8" w:rsidRDefault="00CE1AE8" w:rsidP="00BC6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5. Razvoj civilnog društva</w:t>
            </w:r>
          </w:p>
          <w:p w:rsidR="00CE1AE8" w:rsidRDefault="00CE1AE8" w:rsidP="00BC6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 Poticanje kulturnog stvaralaštva</w:t>
            </w:r>
          </w:p>
          <w:p w:rsidR="00CE1AE8" w:rsidRDefault="00CE1AE8" w:rsidP="00BC6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AE8" w:rsidRDefault="00CE1AE8" w:rsidP="00CE1AE8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824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sebni cilj 3</w:t>
            </w:r>
            <w:r w:rsidRPr="00BC68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PAMETNA I ZELENA</w:t>
            </w:r>
            <w:r w:rsidRPr="00BC6824">
              <w:rPr>
                <w:rFonts w:ascii="Times New Roman" w:hAnsi="Times New Roman" w:cs="Times New Roman"/>
                <w:sz w:val="24"/>
                <w:szCs w:val="24"/>
              </w:rPr>
              <w:t xml:space="preserve"> ŽUPANIJA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definiran je realizacijom sljedećih razvojnih prioriteta: </w:t>
            </w:r>
          </w:p>
          <w:p w:rsidR="00CE1AE8" w:rsidRDefault="00CE1AE8" w:rsidP="00CE1AE8">
            <w:pPr>
              <w:pStyle w:val="Odlomakpopisa"/>
              <w:numPr>
                <w:ilvl w:val="1"/>
                <w:numId w:val="7"/>
              </w:num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Inovativna gospodarska preobrazba </w:t>
            </w:r>
          </w:p>
          <w:p w:rsidR="00CE1AE8" w:rsidRDefault="00CE1AE8" w:rsidP="00CE1AE8">
            <w:pPr>
              <w:pStyle w:val="Odlomakpopisa"/>
              <w:numPr>
                <w:ilvl w:val="1"/>
                <w:numId w:val="7"/>
              </w:num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Razvoj vodno-komunalne infrastrukture</w:t>
            </w:r>
          </w:p>
          <w:p w:rsidR="00CE1AE8" w:rsidRDefault="00CE1AE8" w:rsidP="00CE1AE8">
            <w:pPr>
              <w:pStyle w:val="Odlomakpopisa"/>
              <w:numPr>
                <w:ilvl w:val="1"/>
                <w:numId w:val="7"/>
              </w:num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Održivi razvoj ruralnog i urbanog područja i pametno planiranje prostora</w:t>
            </w:r>
          </w:p>
          <w:p w:rsidR="00CE1AE8" w:rsidRDefault="00CA0B7D" w:rsidP="00CE1AE8">
            <w:pPr>
              <w:pStyle w:val="Odlomakpopisa"/>
              <w:numPr>
                <w:ilvl w:val="1"/>
                <w:numId w:val="7"/>
              </w:num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1AE8">
              <w:rPr>
                <w:rFonts w:ascii="Times New Roman" w:hAnsi="Times New Roman" w:cs="Times New Roman"/>
                <w:sz w:val="24"/>
                <w:szCs w:val="24"/>
              </w:rPr>
              <w:t>Razvoj prepoznatljive turističke ponude</w:t>
            </w:r>
          </w:p>
          <w:p w:rsidR="00CE1AE8" w:rsidRDefault="00CA0B7D" w:rsidP="00CE1AE8">
            <w:pPr>
              <w:pStyle w:val="Odlomakpopisa"/>
              <w:numPr>
                <w:ilvl w:val="1"/>
                <w:numId w:val="7"/>
              </w:num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1AE8">
              <w:rPr>
                <w:rFonts w:ascii="Times New Roman" w:hAnsi="Times New Roman" w:cs="Times New Roman"/>
                <w:sz w:val="24"/>
                <w:szCs w:val="24"/>
              </w:rPr>
              <w:t>Očuvanje okoliša i promicanje učinkovitosti resursa</w:t>
            </w:r>
          </w:p>
          <w:p w:rsidR="00CE1AE8" w:rsidRDefault="00CA0B7D" w:rsidP="00CE1AE8">
            <w:pPr>
              <w:pStyle w:val="Odlomakpopisa"/>
              <w:numPr>
                <w:ilvl w:val="1"/>
                <w:numId w:val="7"/>
              </w:num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23B5">
              <w:rPr>
                <w:rFonts w:ascii="Times New Roman" w:hAnsi="Times New Roman" w:cs="Times New Roman"/>
                <w:sz w:val="24"/>
                <w:szCs w:val="24"/>
              </w:rPr>
              <w:t>Očuvanje općekorisnih funkcija prirode</w:t>
            </w:r>
          </w:p>
          <w:p w:rsidR="003A44BE" w:rsidRDefault="00CA0B7D" w:rsidP="00834DD1">
            <w:pPr>
              <w:pStyle w:val="Odlomakpopisa"/>
              <w:numPr>
                <w:ilvl w:val="1"/>
                <w:numId w:val="7"/>
              </w:num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23B5">
              <w:rPr>
                <w:rFonts w:ascii="Times New Roman" w:hAnsi="Times New Roman" w:cs="Times New Roman"/>
                <w:sz w:val="24"/>
                <w:szCs w:val="24"/>
              </w:rPr>
              <w:t>Razvoj sustava zašite i spašavanja</w:t>
            </w:r>
          </w:p>
          <w:p w:rsidR="00DA2DF7" w:rsidRDefault="00F7341F" w:rsidP="00F7341F">
            <w:pPr>
              <w:spacing w:after="16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IV. poglavlje opisuje posebne ciljeve koji se žele postići s pripadajućim pokazateljima ishoda i popisom mjera za provedbu. Konkretno</w:t>
            </w:r>
            <w:r w:rsidR="00CA0B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="003A44BE" w:rsidRPr="006A23B5">
              <w:rPr>
                <w:rFonts w:ascii="Times New Roman" w:hAnsi="Times New Roman" w:cs="Times New Roman"/>
                <w:sz w:val="24"/>
                <w:szCs w:val="24"/>
              </w:rPr>
              <w:t>vaki pos</w:t>
            </w:r>
            <w:r w:rsidR="006A23B5" w:rsidRPr="006A23B5">
              <w:rPr>
                <w:rFonts w:ascii="Times New Roman" w:hAnsi="Times New Roman" w:cs="Times New Roman"/>
                <w:sz w:val="24"/>
                <w:szCs w:val="24"/>
              </w:rPr>
              <w:t xml:space="preserve">ebni cilj </w:t>
            </w:r>
            <w:r w:rsidR="003A44BE" w:rsidRPr="006A23B5">
              <w:rPr>
                <w:rFonts w:ascii="Times New Roman" w:hAnsi="Times New Roman" w:cs="Times New Roman"/>
                <w:sz w:val="24"/>
                <w:szCs w:val="24"/>
              </w:rPr>
              <w:t>opisan</w:t>
            </w:r>
            <w:r w:rsidR="006A23B5" w:rsidRPr="006A2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23B5">
              <w:rPr>
                <w:rFonts w:ascii="Times New Roman" w:hAnsi="Times New Roman" w:cs="Times New Roman"/>
                <w:sz w:val="24"/>
                <w:szCs w:val="24"/>
              </w:rPr>
              <w:t xml:space="preserve">je </w:t>
            </w:r>
            <w:r w:rsidR="006A23B5" w:rsidRPr="006A23B5">
              <w:rPr>
                <w:rFonts w:ascii="Times New Roman" w:hAnsi="Times New Roman" w:cs="Times New Roman"/>
                <w:sz w:val="24"/>
                <w:szCs w:val="24"/>
              </w:rPr>
              <w:t>kroz</w:t>
            </w:r>
            <w:r w:rsidR="00CA0B7D">
              <w:rPr>
                <w:rFonts w:ascii="Times New Roman" w:hAnsi="Times New Roman" w:cs="Times New Roman"/>
                <w:sz w:val="24"/>
                <w:szCs w:val="24"/>
              </w:rPr>
              <w:t xml:space="preserve"> definirane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razvojne</w:t>
            </w:r>
            <w:r w:rsidR="006A23B5" w:rsidRPr="006A23B5">
              <w:rPr>
                <w:rFonts w:ascii="Times New Roman" w:hAnsi="Times New Roman" w:cs="Times New Roman"/>
                <w:sz w:val="24"/>
                <w:szCs w:val="24"/>
              </w:rPr>
              <w:t xml:space="preserve"> prioritet</w:t>
            </w:r>
            <w:r w:rsidR="006A23B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6A23B5" w:rsidRPr="006A23B5">
              <w:rPr>
                <w:rFonts w:ascii="Times New Roman" w:hAnsi="Times New Roman" w:cs="Times New Roman"/>
                <w:sz w:val="24"/>
                <w:szCs w:val="24"/>
              </w:rPr>
              <w:t xml:space="preserve"> koji se želi ostvariti</w:t>
            </w:r>
            <w:r w:rsidR="006A23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A23B5" w:rsidRPr="006A2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23B5">
              <w:rPr>
                <w:rFonts w:ascii="Times New Roman" w:hAnsi="Times New Roman" w:cs="Times New Roman"/>
                <w:sz w:val="24"/>
                <w:szCs w:val="24"/>
              </w:rPr>
              <w:t>Razvojni prioriteti su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pak</w:t>
            </w:r>
            <w:r w:rsidR="006A2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44BE" w:rsidRPr="006A23B5">
              <w:rPr>
                <w:rFonts w:ascii="Times New Roman" w:hAnsi="Times New Roman" w:cs="Times New Roman"/>
                <w:sz w:val="24"/>
                <w:szCs w:val="24"/>
              </w:rPr>
              <w:t>prikazan</w:t>
            </w:r>
            <w:r w:rsidR="006A23B5">
              <w:rPr>
                <w:rFonts w:ascii="Times New Roman" w:hAnsi="Times New Roman" w:cs="Times New Roman"/>
                <w:sz w:val="24"/>
                <w:szCs w:val="24"/>
              </w:rPr>
              <w:t>i konkretnim mjerama te decidiranim pokazateljima</w:t>
            </w:r>
            <w:r w:rsidR="003A44BE" w:rsidRPr="006A23B5">
              <w:rPr>
                <w:rFonts w:ascii="Times New Roman" w:hAnsi="Times New Roman" w:cs="Times New Roman"/>
                <w:sz w:val="24"/>
                <w:szCs w:val="24"/>
              </w:rPr>
              <w:t xml:space="preserve"> rezultata, koji su pak određeni početnom vrijednošću te c</w:t>
            </w:r>
            <w:r w:rsidR="006A23B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3A44BE" w:rsidRPr="006A23B5">
              <w:rPr>
                <w:rFonts w:ascii="Times New Roman" w:hAnsi="Times New Roman" w:cs="Times New Roman"/>
                <w:sz w:val="24"/>
                <w:szCs w:val="24"/>
              </w:rPr>
              <w:t>ljanom vrijednošću.</w:t>
            </w:r>
            <w:r w:rsidR="003A4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77FF" w:rsidRDefault="006A23B5" w:rsidP="008954C6">
            <w:pPr>
              <w:spacing w:after="16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poglavlje dokumenta obrađuje terminske planove provedbe strate</w:t>
            </w:r>
            <w:r w:rsidR="009E77FF">
              <w:rPr>
                <w:rFonts w:ascii="Times New Roman" w:hAnsi="Times New Roman" w:cs="Times New Roman"/>
                <w:sz w:val="24"/>
                <w:szCs w:val="24"/>
              </w:rPr>
              <w:t>ških projekata važnih za razvoj 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upanije iz nadležnosti </w:t>
            </w:r>
            <w:r w:rsidR="009E77FF">
              <w:rPr>
                <w:rFonts w:ascii="Times New Roman" w:hAnsi="Times New Roman" w:cs="Times New Roman"/>
                <w:sz w:val="24"/>
                <w:szCs w:val="24"/>
              </w:rPr>
              <w:t>Koprivničko-križevačke žup</w:t>
            </w:r>
            <w:r w:rsidR="00CA0B7D">
              <w:rPr>
                <w:rFonts w:ascii="Times New Roman" w:hAnsi="Times New Roman" w:cs="Times New Roman"/>
                <w:sz w:val="24"/>
                <w:szCs w:val="24"/>
              </w:rPr>
              <w:t xml:space="preserve">anije ili povezanih tijela. Nadalje, obrađuje </w:t>
            </w:r>
            <w:r w:rsidR="009E77FF">
              <w:rPr>
                <w:rFonts w:ascii="Times New Roman" w:hAnsi="Times New Roman" w:cs="Times New Roman"/>
                <w:sz w:val="24"/>
                <w:szCs w:val="24"/>
              </w:rPr>
              <w:t>terminske planove provedbe strateških projekata važnih za razvoj Koprivničko-križevačke županije</w:t>
            </w:r>
            <w:r w:rsidR="00F7341F">
              <w:rPr>
                <w:rFonts w:ascii="Times New Roman" w:hAnsi="Times New Roman" w:cs="Times New Roman"/>
                <w:sz w:val="24"/>
                <w:szCs w:val="24"/>
              </w:rPr>
              <w:t>, a</w:t>
            </w:r>
            <w:r w:rsidR="009E77FF">
              <w:rPr>
                <w:rFonts w:ascii="Times New Roman" w:hAnsi="Times New Roman" w:cs="Times New Roman"/>
                <w:sz w:val="24"/>
                <w:szCs w:val="24"/>
              </w:rPr>
              <w:t xml:space="preserve"> čija provedba nije u nadležnosti Koprivničko-križevačke županije.</w:t>
            </w:r>
          </w:p>
          <w:p w:rsidR="009E77FF" w:rsidRDefault="009E77FF" w:rsidP="008954C6">
            <w:pPr>
              <w:spacing w:after="16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VI. poglavlje obrađuje indikativni financijski plan s prikazom financijskih pretpostavki za provedbu posebnih ciljeva.</w:t>
            </w:r>
            <w:r w:rsidR="00314100">
              <w:rPr>
                <w:rFonts w:ascii="Times New Roman" w:hAnsi="Times New Roman" w:cs="Times New Roman"/>
                <w:sz w:val="24"/>
                <w:szCs w:val="24"/>
              </w:rPr>
              <w:t xml:space="preserve"> Indikativni financijski plan prikazuje se i na način da su projekti podijeljeni prema izvorima financiranja na projekte koji trebaju biti završeni do 31. 12.</w:t>
            </w:r>
            <w:r w:rsidR="00F7341F">
              <w:rPr>
                <w:rFonts w:ascii="Times New Roman" w:hAnsi="Times New Roman" w:cs="Times New Roman"/>
                <w:sz w:val="24"/>
                <w:szCs w:val="24"/>
              </w:rPr>
              <w:t xml:space="preserve"> 2023.  te na projekte koji tre</w:t>
            </w:r>
            <w:r w:rsidR="00314100">
              <w:rPr>
                <w:rFonts w:ascii="Times New Roman" w:hAnsi="Times New Roman" w:cs="Times New Roman"/>
                <w:sz w:val="24"/>
                <w:szCs w:val="24"/>
              </w:rPr>
              <w:t>baju biti završeni do 31. 12. 2029. godine.</w:t>
            </w:r>
          </w:p>
          <w:p w:rsidR="004F3EB6" w:rsidRPr="00FE54D1" w:rsidRDefault="009E77FF" w:rsidP="008954C6">
            <w:pPr>
              <w:spacing w:after="16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VII. </w:t>
            </w:r>
            <w:r w:rsidR="00FE54D1">
              <w:rPr>
                <w:rFonts w:ascii="Times New Roman" w:hAnsi="Times New Roman" w:cs="Times New Roman"/>
                <w:sz w:val="24"/>
                <w:szCs w:val="24"/>
              </w:rPr>
              <w:t xml:space="preserve">poglavljem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definirani</w:t>
            </w:r>
            <w:r w:rsidR="00FE54D1">
              <w:rPr>
                <w:rFonts w:ascii="Times New Roman" w:hAnsi="Times New Roman" w:cs="Times New Roman"/>
                <w:sz w:val="24"/>
                <w:szCs w:val="24"/>
              </w:rPr>
              <w:t xml:space="preserve"> su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okviri za praćenje i vrednovanje</w:t>
            </w:r>
            <w:r w:rsidR="00FE54D1">
              <w:rPr>
                <w:rFonts w:ascii="Times New Roman" w:hAnsi="Times New Roman" w:cs="Times New Roman"/>
                <w:sz w:val="24"/>
                <w:szCs w:val="24"/>
              </w:rPr>
              <w:t xml:space="preserve"> kojim se opisuju postupci te rokovi praćenja i izvještavanja o provedbi Plana razvoja Koprivničko-križevačke županije za razdoblje 2021.-2027. </w:t>
            </w:r>
          </w:p>
        </w:tc>
      </w:tr>
    </w:tbl>
    <w:p w:rsidR="000A5E84" w:rsidRDefault="000A5E84" w:rsidP="000A5E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4A45" w:rsidRPr="006F1CE1" w:rsidRDefault="005E4A45" w:rsidP="000A5E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CE1">
        <w:rPr>
          <w:rFonts w:ascii="Times New Roman" w:hAnsi="Times New Roman" w:cs="Times New Roman"/>
          <w:sz w:val="24"/>
          <w:szCs w:val="24"/>
        </w:rPr>
        <w:t>Pozivamo predstavnike javnosti da najkasnije do</w:t>
      </w:r>
      <w:r w:rsidR="00B62829">
        <w:rPr>
          <w:rFonts w:ascii="Times New Roman" w:hAnsi="Times New Roman" w:cs="Times New Roman"/>
          <w:sz w:val="24"/>
          <w:szCs w:val="24"/>
        </w:rPr>
        <w:t xml:space="preserve"> 16. studenoga</w:t>
      </w:r>
      <w:r w:rsidR="00452552">
        <w:rPr>
          <w:rFonts w:ascii="Times New Roman" w:hAnsi="Times New Roman" w:cs="Times New Roman"/>
          <w:sz w:val="24"/>
          <w:szCs w:val="24"/>
        </w:rPr>
        <w:t xml:space="preserve"> </w:t>
      </w:r>
      <w:r w:rsidR="000B1D70">
        <w:rPr>
          <w:rFonts w:ascii="Times New Roman" w:hAnsi="Times New Roman" w:cs="Times New Roman"/>
          <w:sz w:val="24"/>
          <w:szCs w:val="24"/>
        </w:rPr>
        <w:t>2021</w:t>
      </w:r>
      <w:r w:rsidR="00345631" w:rsidRPr="006F1CE1">
        <w:rPr>
          <w:rFonts w:ascii="Times New Roman" w:hAnsi="Times New Roman" w:cs="Times New Roman"/>
          <w:sz w:val="24"/>
          <w:szCs w:val="24"/>
        </w:rPr>
        <w:t xml:space="preserve">. </w:t>
      </w:r>
      <w:r w:rsidRPr="006F1CE1">
        <w:rPr>
          <w:rFonts w:ascii="Times New Roman" w:hAnsi="Times New Roman" w:cs="Times New Roman"/>
          <w:sz w:val="24"/>
          <w:szCs w:val="24"/>
        </w:rPr>
        <w:t>godine dostave svoje komentare na Nacrt</w:t>
      </w:r>
      <w:r w:rsidR="00FE4EB3" w:rsidRPr="006F1CE1">
        <w:rPr>
          <w:rFonts w:ascii="Times New Roman" w:hAnsi="Times New Roman" w:cs="Times New Roman"/>
          <w:sz w:val="24"/>
          <w:szCs w:val="24"/>
        </w:rPr>
        <w:t xml:space="preserve"> </w:t>
      </w:r>
      <w:r w:rsidR="00B62829">
        <w:rPr>
          <w:rFonts w:ascii="Times New Roman" w:hAnsi="Times New Roman" w:cs="Times New Roman"/>
          <w:sz w:val="24"/>
          <w:szCs w:val="24"/>
        </w:rPr>
        <w:t xml:space="preserve">Plana razvoja </w:t>
      </w:r>
      <w:r w:rsidR="00452552">
        <w:rPr>
          <w:rFonts w:ascii="Times New Roman" w:hAnsi="Times New Roman" w:cs="Times New Roman"/>
          <w:sz w:val="24"/>
          <w:szCs w:val="24"/>
        </w:rPr>
        <w:t>Koprivničko-križevačke županije</w:t>
      </w:r>
      <w:r w:rsidR="00B62829">
        <w:rPr>
          <w:rFonts w:ascii="Times New Roman" w:hAnsi="Times New Roman" w:cs="Times New Roman"/>
          <w:sz w:val="24"/>
          <w:szCs w:val="24"/>
        </w:rPr>
        <w:t xml:space="preserve"> za razdoblje 2021.-2027.</w:t>
      </w:r>
      <w:r w:rsidR="00452552">
        <w:rPr>
          <w:rFonts w:ascii="Times New Roman" w:hAnsi="Times New Roman" w:cs="Times New Roman"/>
          <w:sz w:val="24"/>
          <w:szCs w:val="24"/>
        </w:rPr>
        <w:t xml:space="preserve"> </w:t>
      </w:r>
      <w:r w:rsidRPr="006F1CE1">
        <w:rPr>
          <w:rFonts w:ascii="Times New Roman" w:hAnsi="Times New Roman" w:cs="Times New Roman"/>
          <w:sz w:val="24"/>
          <w:szCs w:val="24"/>
        </w:rPr>
        <w:t xml:space="preserve">putem OBRASCA za savjetovanja </w:t>
      </w:r>
      <w:r w:rsidR="008937D3" w:rsidRPr="006F1CE1">
        <w:rPr>
          <w:rFonts w:ascii="Times New Roman" w:hAnsi="Times New Roman" w:cs="Times New Roman"/>
          <w:sz w:val="24"/>
          <w:szCs w:val="24"/>
        </w:rPr>
        <w:t xml:space="preserve">na e-mail: </w:t>
      </w:r>
      <w:hyperlink r:id="rId8" w:history="1">
        <w:r w:rsidR="00B62829" w:rsidRPr="00D71F1B">
          <w:rPr>
            <w:rStyle w:val="Hiperveza"/>
            <w:rFonts w:ascii="Times New Roman" w:hAnsi="Times New Roman" w:cs="Times New Roman"/>
            <w:sz w:val="24"/>
            <w:szCs w:val="24"/>
          </w:rPr>
          <w:t>helena.matica@kckzz.hr</w:t>
        </w:r>
      </w:hyperlink>
    </w:p>
    <w:p w:rsidR="008F19F7" w:rsidRPr="006F1CE1" w:rsidRDefault="008F19F7" w:rsidP="000A5E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CE1">
        <w:rPr>
          <w:rFonts w:ascii="Times New Roman" w:hAnsi="Times New Roman" w:cs="Times New Roman"/>
          <w:sz w:val="24"/>
          <w:szCs w:val="24"/>
        </w:rPr>
        <w:t xml:space="preserve">Po završetku savjetovanja, svi pristigli doprinosi bit će javno dostupni na internetskoj stranici </w:t>
      </w:r>
      <w:r w:rsidR="00970F38" w:rsidRPr="006F1CE1">
        <w:rPr>
          <w:rFonts w:ascii="Times New Roman" w:hAnsi="Times New Roman" w:cs="Times New Roman"/>
          <w:sz w:val="24"/>
          <w:szCs w:val="24"/>
        </w:rPr>
        <w:t>Koprivničko-križevačke županije te priloženi uz prijedlog akta o kojem će raspravljati Županijska skupština Koprivničko-križevačke županije</w:t>
      </w:r>
      <w:r w:rsidR="00F36372">
        <w:rPr>
          <w:rFonts w:ascii="Times New Roman" w:hAnsi="Times New Roman" w:cs="Times New Roman"/>
          <w:sz w:val="24"/>
          <w:szCs w:val="24"/>
        </w:rPr>
        <w:t>.</w:t>
      </w:r>
    </w:p>
    <w:p w:rsidR="00C63EEA" w:rsidRPr="006F1CE1" w:rsidRDefault="008F19F7" w:rsidP="000A5E8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1CE1">
        <w:rPr>
          <w:rFonts w:ascii="Times New Roman" w:hAnsi="Times New Roman" w:cs="Times New Roman"/>
          <w:color w:val="000000" w:themeColor="text1"/>
          <w:sz w:val="24"/>
          <w:szCs w:val="24"/>
        </w:rPr>
        <w:t>Ukoliko ne želite da Vaš doprinos bude javno objavljen, molimo Vas da to jasno istaknete pri dostavi obrasca.</w:t>
      </w:r>
    </w:p>
    <w:p w:rsidR="006F1CE1" w:rsidRDefault="008F19F7" w:rsidP="000A5E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CE1">
        <w:rPr>
          <w:rFonts w:ascii="Times New Roman" w:hAnsi="Times New Roman" w:cs="Times New Roman"/>
          <w:sz w:val="24"/>
          <w:szCs w:val="24"/>
        </w:rPr>
        <w:t xml:space="preserve">Zahvaljujemo na doprinosu u izradi što </w:t>
      </w:r>
      <w:r w:rsidR="00B62829">
        <w:rPr>
          <w:rFonts w:ascii="Times New Roman" w:hAnsi="Times New Roman" w:cs="Times New Roman"/>
          <w:sz w:val="24"/>
          <w:szCs w:val="24"/>
        </w:rPr>
        <w:t>kvalitetnijeg Plana razvoja</w:t>
      </w:r>
      <w:r w:rsidR="00E75365" w:rsidRPr="006F1CE1">
        <w:rPr>
          <w:rFonts w:ascii="Times New Roman" w:hAnsi="Times New Roman" w:cs="Times New Roman"/>
          <w:sz w:val="24"/>
          <w:szCs w:val="24"/>
        </w:rPr>
        <w:t xml:space="preserve"> </w:t>
      </w:r>
      <w:r w:rsidR="00452552">
        <w:rPr>
          <w:rFonts w:ascii="Times New Roman" w:hAnsi="Times New Roman" w:cs="Times New Roman"/>
          <w:sz w:val="24"/>
          <w:szCs w:val="24"/>
        </w:rPr>
        <w:t>Koprivničko-križevačke županije</w:t>
      </w:r>
      <w:r w:rsidR="00B62829">
        <w:rPr>
          <w:rFonts w:ascii="Times New Roman" w:hAnsi="Times New Roman" w:cs="Times New Roman"/>
          <w:sz w:val="24"/>
          <w:szCs w:val="24"/>
        </w:rPr>
        <w:t xml:space="preserve"> za razdoblje 2021.-2027.</w:t>
      </w:r>
    </w:p>
    <w:p w:rsidR="000A5E84" w:rsidRDefault="000A5E84" w:rsidP="004B25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2552" w:rsidRPr="006F1CE1" w:rsidRDefault="00FE4EB3" w:rsidP="004B25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1CE1">
        <w:rPr>
          <w:rFonts w:ascii="Times New Roman" w:hAnsi="Times New Roman" w:cs="Times New Roman"/>
          <w:sz w:val="24"/>
          <w:szCs w:val="24"/>
        </w:rPr>
        <w:t xml:space="preserve">KLASA: </w:t>
      </w:r>
      <w:r w:rsidR="00B62829">
        <w:rPr>
          <w:rFonts w:ascii="Times New Roman" w:hAnsi="Times New Roman" w:cs="Times New Roman"/>
          <w:sz w:val="24"/>
          <w:szCs w:val="24"/>
        </w:rPr>
        <w:t>011-04/21-01/6</w:t>
      </w:r>
    </w:p>
    <w:p w:rsidR="004B25C3" w:rsidRPr="006F1CE1" w:rsidRDefault="00452552" w:rsidP="004B25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2137/1-02/03-21</w:t>
      </w:r>
      <w:r w:rsidR="004B25C3" w:rsidRPr="006F1CE1">
        <w:rPr>
          <w:rFonts w:ascii="Times New Roman" w:hAnsi="Times New Roman" w:cs="Times New Roman"/>
          <w:sz w:val="24"/>
          <w:szCs w:val="24"/>
        </w:rPr>
        <w:t>-1</w:t>
      </w:r>
    </w:p>
    <w:p w:rsidR="004B25C3" w:rsidRPr="006F1CE1" w:rsidRDefault="00B62829" w:rsidP="004B25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Koprivnica, 15</w:t>
      </w:r>
      <w:r w:rsidR="004B25C3" w:rsidRPr="006F1CE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listopada </w:t>
      </w:r>
      <w:r w:rsidR="00452552">
        <w:rPr>
          <w:rFonts w:ascii="Times New Roman" w:hAnsi="Times New Roman" w:cs="Times New Roman"/>
          <w:sz w:val="24"/>
          <w:szCs w:val="24"/>
        </w:rPr>
        <w:t>2021</w:t>
      </w:r>
      <w:r w:rsidR="004B25C3" w:rsidRPr="006F1CE1">
        <w:rPr>
          <w:rFonts w:ascii="Times New Roman" w:hAnsi="Times New Roman" w:cs="Times New Roman"/>
          <w:sz w:val="24"/>
          <w:szCs w:val="24"/>
        </w:rPr>
        <w:t>.</w:t>
      </w:r>
    </w:p>
    <w:sectPr w:rsidR="004B25C3" w:rsidRPr="006F1CE1" w:rsidSect="006A579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977" w:rsidRDefault="00DB4977" w:rsidP="002342F3">
      <w:pPr>
        <w:spacing w:after="0" w:line="240" w:lineRule="auto"/>
      </w:pPr>
      <w:r>
        <w:separator/>
      </w:r>
    </w:p>
  </w:endnote>
  <w:endnote w:type="continuationSeparator" w:id="0">
    <w:p w:rsidR="00DB4977" w:rsidRDefault="00DB4977" w:rsidP="00234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645522"/>
      <w:docPartObj>
        <w:docPartGallery w:val="Page Numbers (Bottom of Page)"/>
        <w:docPartUnique/>
      </w:docPartObj>
    </w:sdtPr>
    <w:sdtEndPr/>
    <w:sdtContent>
      <w:p w:rsidR="0028158C" w:rsidRDefault="00F030D9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2BD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8158C" w:rsidRDefault="0028158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977" w:rsidRDefault="00DB4977" w:rsidP="002342F3">
      <w:pPr>
        <w:spacing w:after="0" w:line="240" w:lineRule="auto"/>
      </w:pPr>
      <w:r>
        <w:separator/>
      </w:r>
    </w:p>
  </w:footnote>
  <w:footnote w:type="continuationSeparator" w:id="0">
    <w:p w:rsidR="00DB4977" w:rsidRDefault="00DB4977" w:rsidP="002342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01259"/>
    <w:multiLevelType w:val="hybridMultilevel"/>
    <w:tmpl w:val="94FE3D20"/>
    <w:lvl w:ilvl="0" w:tplc="E7CC047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2F3B45"/>
    <w:multiLevelType w:val="hybridMultilevel"/>
    <w:tmpl w:val="EDAA1D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337AD"/>
    <w:multiLevelType w:val="hybridMultilevel"/>
    <w:tmpl w:val="9A0E937A"/>
    <w:lvl w:ilvl="0" w:tplc="E5A0C26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CAD3659"/>
    <w:multiLevelType w:val="hybridMultilevel"/>
    <w:tmpl w:val="58B6953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E918D4"/>
    <w:multiLevelType w:val="multilevel"/>
    <w:tmpl w:val="68840D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0844967"/>
    <w:multiLevelType w:val="singleLevel"/>
    <w:tmpl w:val="E8269F20"/>
    <w:lvl w:ilvl="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i/>
        <w:iCs/>
      </w:rPr>
    </w:lvl>
  </w:abstractNum>
  <w:abstractNum w:abstractNumId="6" w15:restartNumberingAfterBreak="0">
    <w:nsid w:val="45CF4A99"/>
    <w:multiLevelType w:val="hybridMultilevel"/>
    <w:tmpl w:val="A816BD44"/>
    <w:lvl w:ilvl="0" w:tplc="9D7667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7E2619"/>
    <w:multiLevelType w:val="hybridMultilevel"/>
    <w:tmpl w:val="69822EEE"/>
    <w:lvl w:ilvl="0" w:tplc="185028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D63AB6"/>
    <w:multiLevelType w:val="hybridMultilevel"/>
    <w:tmpl w:val="68F6FEB6"/>
    <w:lvl w:ilvl="0" w:tplc="5CACA5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703536"/>
    <w:multiLevelType w:val="multilevel"/>
    <w:tmpl w:val="2C0E9E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0A85E13"/>
    <w:multiLevelType w:val="hybridMultilevel"/>
    <w:tmpl w:val="D2220306"/>
    <w:lvl w:ilvl="0" w:tplc="7C16E3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E62208"/>
    <w:multiLevelType w:val="hybridMultilevel"/>
    <w:tmpl w:val="1B9C7084"/>
    <w:lvl w:ilvl="0" w:tplc="77E28E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6EB55A82"/>
    <w:multiLevelType w:val="hybridMultilevel"/>
    <w:tmpl w:val="08167A2E"/>
    <w:lvl w:ilvl="0" w:tplc="6AA6BAE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10"/>
  </w:num>
  <w:num w:numId="5">
    <w:abstractNumId w:val="2"/>
  </w:num>
  <w:num w:numId="6">
    <w:abstractNumId w:val="6"/>
  </w:num>
  <w:num w:numId="7">
    <w:abstractNumId w:val="4"/>
  </w:num>
  <w:num w:numId="8">
    <w:abstractNumId w:val="1"/>
  </w:num>
  <w:num w:numId="9">
    <w:abstractNumId w:val="9"/>
  </w:num>
  <w:num w:numId="10">
    <w:abstractNumId w:val="12"/>
  </w:num>
  <w:num w:numId="11">
    <w:abstractNumId w:val="8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864AC"/>
    <w:rsid w:val="000332C1"/>
    <w:rsid w:val="0008226F"/>
    <w:rsid w:val="000851C5"/>
    <w:rsid w:val="00087CB3"/>
    <w:rsid w:val="00090EB4"/>
    <w:rsid w:val="00097F57"/>
    <w:rsid w:val="000A4486"/>
    <w:rsid w:val="000A5E84"/>
    <w:rsid w:val="000B1D70"/>
    <w:rsid w:val="000C29C4"/>
    <w:rsid w:val="000C4FD1"/>
    <w:rsid w:val="000E3544"/>
    <w:rsid w:val="000E53F2"/>
    <w:rsid w:val="000E5975"/>
    <w:rsid w:val="000E67F3"/>
    <w:rsid w:val="00101BA7"/>
    <w:rsid w:val="00105AEF"/>
    <w:rsid w:val="001158F9"/>
    <w:rsid w:val="00127275"/>
    <w:rsid w:val="001278E4"/>
    <w:rsid w:val="0013593C"/>
    <w:rsid w:val="00140479"/>
    <w:rsid w:val="00161B57"/>
    <w:rsid w:val="00167FD8"/>
    <w:rsid w:val="00177E80"/>
    <w:rsid w:val="00193BBB"/>
    <w:rsid w:val="001A0F7B"/>
    <w:rsid w:val="001B3645"/>
    <w:rsid w:val="001C7E8A"/>
    <w:rsid w:val="001D7768"/>
    <w:rsid w:val="001D7ADB"/>
    <w:rsid w:val="001E50EB"/>
    <w:rsid w:val="001E559A"/>
    <w:rsid w:val="001E7C4A"/>
    <w:rsid w:val="001F175B"/>
    <w:rsid w:val="001F192A"/>
    <w:rsid w:val="001F3F51"/>
    <w:rsid w:val="001F4932"/>
    <w:rsid w:val="001F7196"/>
    <w:rsid w:val="002033F7"/>
    <w:rsid w:val="00206718"/>
    <w:rsid w:val="00212C10"/>
    <w:rsid w:val="00224CAB"/>
    <w:rsid w:val="00231B49"/>
    <w:rsid w:val="002342F3"/>
    <w:rsid w:val="00245F94"/>
    <w:rsid w:val="00247B07"/>
    <w:rsid w:val="002504B3"/>
    <w:rsid w:val="0025366B"/>
    <w:rsid w:val="00253E7C"/>
    <w:rsid w:val="002770A7"/>
    <w:rsid w:val="0028158C"/>
    <w:rsid w:val="002A2BDB"/>
    <w:rsid w:val="002D1F38"/>
    <w:rsid w:val="002D431B"/>
    <w:rsid w:val="002F6F83"/>
    <w:rsid w:val="00302E67"/>
    <w:rsid w:val="003076F1"/>
    <w:rsid w:val="003106F3"/>
    <w:rsid w:val="00314100"/>
    <w:rsid w:val="00314F19"/>
    <w:rsid w:val="00342CFE"/>
    <w:rsid w:val="00345631"/>
    <w:rsid w:val="00350452"/>
    <w:rsid w:val="00352AA6"/>
    <w:rsid w:val="00355C0D"/>
    <w:rsid w:val="00392727"/>
    <w:rsid w:val="003A33F8"/>
    <w:rsid w:val="003A44BE"/>
    <w:rsid w:val="003B4299"/>
    <w:rsid w:val="003B5FC0"/>
    <w:rsid w:val="003C4E15"/>
    <w:rsid w:val="003C7FF2"/>
    <w:rsid w:val="003D2DDB"/>
    <w:rsid w:val="0042171F"/>
    <w:rsid w:val="00425DA6"/>
    <w:rsid w:val="00431960"/>
    <w:rsid w:val="00433831"/>
    <w:rsid w:val="00443D9D"/>
    <w:rsid w:val="004519E8"/>
    <w:rsid w:val="00452552"/>
    <w:rsid w:val="00475D16"/>
    <w:rsid w:val="00481DAA"/>
    <w:rsid w:val="0048394E"/>
    <w:rsid w:val="004B25C3"/>
    <w:rsid w:val="004B4F42"/>
    <w:rsid w:val="004C029A"/>
    <w:rsid w:val="004D7537"/>
    <w:rsid w:val="004E5246"/>
    <w:rsid w:val="004F3EB6"/>
    <w:rsid w:val="005145A4"/>
    <w:rsid w:val="0053087C"/>
    <w:rsid w:val="00546D6E"/>
    <w:rsid w:val="00564C85"/>
    <w:rsid w:val="005650B2"/>
    <w:rsid w:val="0056706C"/>
    <w:rsid w:val="00571D47"/>
    <w:rsid w:val="00586F82"/>
    <w:rsid w:val="00597347"/>
    <w:rsid w:val="005C1A9F"/>
    <w:rsid w:val="005D3CF8"/>
    <w:rsid w:val="005D4776"/>
    <w:rsid w:val="005D6175"/>
    <w:rsid w:val="005E4A45"/>
    <w:rsid w:val="0060382B"/>
    <w:rsid w:val="00611129"/>
    <w:rsid w:val="006123FB"/>
    <w:rsid w:val="00616042"/>
    <w:rsid w:val="006242B0"/>
    <w:rsid w:val="0062678E"/>
    <w:rsid w:val="006378CE"/>
    <w:rsid w:val="00653BEB"/>
    <w:rsid w:val="00666DFB"/>
    <w:rsid w:val="00672EF5"/>
    <w:rsid w:val="00687D54"/>
    <w:rsid w:val="006A23B5"/>
    <w:rsid w:val="006A5796"/>
    <w:rsid w:val="006D1C98"/>
    <w:rsid w:val="006D23FB"/>
    <w:rsid w:val="006D7A52"/>
    <w:rsid w:val="006F1CE1"/>
    <w:rsid w:val="00701601"/>
    <w:rsid w:val="00731B92"/>
    <w:rsid w:val="00752D46"/>
    <w:rsid w:val="00753AD1"/>
    <w:rsid w:val="0075467E"/>
    <w:rsid w:val="00761955"/>
    <w:rsid w:val="00767309"/>
    <w:rsid w:val="00770BF2"/>
    <w:rsid w:val="0078113B"/>
    <w:rsid w:val="007836FA"/>
    <w:rsid w:val="00787EA1"/>
    <w:rsid w:val="007939CE"/>
    <w:rsid w:val="00797B6B"/>
    <w:rsid w:val="007A49EE"/>
    <w:rsid w:val="007A667D"/>
    <w:rsid w:val="007E2C70"/>
    <w:rsid w:val="007F0109"/>
    <w:rsid w:val="007F16A4"/>
    <w:rsid w:val="0080463F"/>
    <w:rsid w:val="00816B8B"/>
    <w:rsid w:val="00817230"/>
    <w:rsid w:val="00834DD1"/>
    <w:rsid w:val="00866D7E"/>
    <w:rsid w:val="008754F6"/>
    <w:rsid w:val="00875E06"/>
    <w:rsid w:val="008937D3"/>
    <w:rsid w:val="008954C6"/>
    <w:rsid w:val="008A38FC"/>
    <w:rsid w:val="008C1965"/>
    <w:rsid w:val="008D0FA1"/>
    <w:rsid w:val="008F05FE"/>
    <w:rsid w:val="008F19F7"/>
    <w:rsid w:val="008F6EFF"/>
    <w:rsid w:val="00922107"/>
    <w:rsid w:val="009479A2"/>
    <w:rsid w:val="00956B36"/>
    <w:rsid w:val="00966F15"/>
    <w:rsid w:val="00970F38"/>
    <w:rsid w:val="0097422A"/>
    <w:rsid w:val="009A7D09"/>
    <w:rsid w:val="009B5DC2"/>
    <w:rsid w:val="009B676D"/>
    <w:rsid w:val="009C2A30"/>
    <w:rsid w:val="009C70FD"/>
    <w:rsid w:val="009E77FF"/>
    <w:rsid w:val="009E7B7D"/>
    <w:rsid w:val="00A10189"/>
    <w:rsid w:val="00A22287"/>
    <w:rsid w:val="00A22F05"/>
    <w:rsid w:val="00A238A2"/>
    <w:rsid w:val="00A27B5C"/>
    <w:rsid w:val="00A32D7A"/>
    <w:rsid w:val="00A367EF"/>
    <w:rsid w:val="00A4702E"/>
    <w:rsid w:val="00A540CA"/>
    <w:rsid w:val="00A54470"/>
    <w:rsid w:val="00A64EF1"/>
    <w:rsid w:val="00A718F6"/>
    <w:rsid w:val="00A73B51"/>
    <w:rsid w:val="00A879B7"/>
    <w:rsid w:val="00A93C3A"/>
    <w:rsid w:val="00AA3D09"/>
    <w:rsid w:val="00AC4CEF"/>
    <w:rsid w:val="00AD3F24"/>
    <w:rsid w:val="00AD7962"/>
    <w:rsid w:val="00B0020D"/>
    <w:rsid w:val="00B157C0"/>
    <w:rsid w:val="00B2164A"/>
    <w:rsid w:val="00B24BBD"/>
    <w:rsid w:val="00B4007F"/>
    <w:rsid w:val="00B40578"/>
    <w:rsid w:val="00B426D2"/>
    <w:rsid w:val="00B62829"/>
    <w:rsid w:val="00B76FE9"/>
    <w:rsid w:val="00B864AC"/>
    <w:rsid w:val="00B9057F"/>
    <w:rsid w:val="00B91D79"/>
    <w:rsid w:val="00BA2127"/>
    <w:rsid w:val="00BB5636"/>
    <w:rsid w:val="00BC6824"/>
    <w:rsid w:val="00BF0D75"/>
    <w:rsid w:val="00C06628"/>
    <w:rsid w:val="00C31144"/>
    <w:rsid w:val="00C319D3"/>
    <w:rsid w:val="00C53A91"/>
    <w:rsid w:val="00C63EEA"/>
    <w:rsid w:val="00C7624D"/>
    <w:rsid w:val="00C84484"/>
    <w:rsid w:val="00C86CE8"/>
    <w:rsid w:val="00C937BA"/>
    <w:rsid w:val="00C9499F"/>
    <w:rsid w:val="00C96F5D"/>
    <w:rsid w:val="00CA0B7D"/>
    <w:rsid w:val="00CA0CBF"/>
    <w:rsid w:val="00CB5A94"/>
    <w:rsid w:val="00CB65B5"/>
    <w:rsid w:val="00CC1427"/>
    <w:rsid w:val="00CC145B"/>
    <w:rsid w:val="00CD2A7E"/>
    <w:rsid w:val="00CE1AE8"/>
    <w:rsid w:val="00D1135B"/>
    <w:rsid w:val="00D15435"/>
    <w:rsid w:val="00D15B0C"/>
    <w:rsid w:val="00D2245E"/>
    <w:rsid w:val="00D224F8"/>
    <w:rsid w:val="00D324A5"/>
    <w:rsid w:val="00D35DF3"/>
    <w:rsid w:val="00D457A8"/>
    <w:rsid w:val="00D55840"/>
    <w:rsid w:val="00D632F9"/>
    <w:rsid w:val="00D7786D"/>
    <w:rsid w:val="00D81486"/>
    <w:rsid w:val="00D8613B"/>
    <w:rsid w:val="00D95142"/>
    <w:rsid w:val="00DA2DF7"/>
    <w:rsid w:val="00DA5ED1"/>
    <w:rsid w:val="00DB44FD"/>
    <w:rsid w:val="00DB4977"/>
    <w:rsid w:val="00DC5E21"/>
    <w:rsid w:val="00DD2EB6"/>
    <w:rsid w:val="00DE3C70"/>
    <w:rsid w:val="00DE7511"/>
    <w:rsid w:val="00E17EE2"/>
    <w:rsid w:val="00E21C53"/>
    <w:rsid w:val="00E241B6"/>
    <w:rsid w:val="00E3139A"/>
    <w:rsid w:val="00E42418"/>
    <w:rsid w:val="00E444C6"/>
    <w:rsid w:val="00E50982"/>
    <w:rsid w:val="00E510F0"/>
    <w:rsid w:val="00E75365"/>
    <w:rsid w:val="00E90A25"/>
    <w:rsid w:val="00E96288"/>
    <w:rsid w:val="00EC40DD"/>
    <w:rsid w:val="00ED7CB4"/>
    <w:rsid w:val="00EE0989"/>
    <w:rsid w:val="00F030D9"/>
    <w:rsid w:val="00F074AE"/>
    <w:rsid w:val="00F36218"/>
    <w:rsid w:val="00F36372"/>
    <w:rsid w:val="00F3739A"/>
    <w:rsid w:val="00F50902"/>
    <w:rsid w:val="00F62C90"/>
    <w:rsid w:val="00F7341F"/>
    <w:rsid w:val="00F95448"/>
    <w:rsid w:val="00FA1726"/>
    <w:rsid w:val="00FC2A78"/>
    <w:rsid w:val="00FD6799"/>
    <w:rsid w:val="00FE1DC9"/>
    <w:rsid w:val="00FE4EB3"/>
    <w:rsid w:val="00FE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39D52"/>
  <w15:docId w15:val="{3ACF2010-838A-43DA-8E7F-258EE1A79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79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864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8F19F7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731B9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731B92"/>
    <w:rPr>
      <w:b/>
      <w:bCs/>
    </w:rPr>
  </w:style>
  <w:style w:type="paragraph" w:styleId="Tijeloteksta">
    <w:name w:val="Body Text"/>
    <w:basedOn w:val="Normal"/>
    <w:link w:val="TijelotekstaChar"/>
    <w:uiPriority w:val="99"/>
    <w:rsid w:val="00E313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ijelotekstaChar">
    <w:name w:val="Tijelo teksta Char"/>
    <w:basedOn w:val="Zadanifontodlomka"/>
    <w:link w:val="Tijeloteksta"/>
    <w:uiPriority w:val="99"/>
    <w:rsid w:val="00E3139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Zaglavlje">
    <w:name w:val="header"/>
    <w:basedOn w:val="Normal"/>
    <w:link w:val="ZaglavljeChar"/>
    <w:uiPriority w:val="99"/>
    <w:semiHidden/>
    <w:unhideWhenUsed/>
    <w:rsid w:val="0023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342F3"/>
  </w:style>
  <w:style w:type="paragraph" w:styleId="Podnoje">
    <w:name w:val="footer"/>
    <w:basedOn w:val="Normal"/>
    <w:link w:val="PodnojeChar"/>
    <w:uiPriority w:val="99"/>
    <w:unhideWhenUsed/>
    <w:rsid w:val="0023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342F3"/>
  </w:style>
  <w:style w:type="paragraph" w:styleId="Tekstkomentara">
    <w:name w:val="annotation text"/>
    <w:basedOn w:val="Normal"/>
    <w:link w:val="TekstkomentaraChar"/>
    <w:semiHidden/>
    <w:rsid w:val="002D431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2D431B"/>
    <w:rPr>
      <w:rFonts w:ascii="Times New Roman" w:eastAsia="Times New Roman" w:hAnsi="Times New Roman" w:cs="Times New Roman"/>
      <w:noProof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52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2D46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C94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3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a.matica@kckzz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0093D-3A10-4F7A-8817-49F636A2C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1325</TotalTime>
  <Pages>3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HelenaMB</cp:lastModifiedBy>
  <cp:revision>159</cp:revision>
  <cp:lastPrinted>2020-12-29T13:37:00Z</cp:lastPrinted>
  <dcterms:created xsi:type="dcterms:W3CDTF">2015-04-08T09:15:00Z</dcterms:created>
  <dcterms:modified xsi:type="dcterms:W3CDTF">2021-10-18T12:11:00Z</dcterms:modified>
</cp:coreProperties>
</file>