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7F" w:rsidRPr="00E5318C" w:rsidRDefault="004F6D7F" w:rsidP="004F6D7F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E5318C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8313E0" w:rsidRPr="00E5318C">
        <w:rPr>
          <w:sz w:val="22"/>
          <w:szCs w:val="22"/>
        </w:rPr>
        <w:t>,</w:t>
      </w:r>
      <w:r w:rsidRPr="00E5318C">
        <w:rPr>
          <w:sz w:val="22"/>
          <w:szCs w:val="22"/>
        </w:rPr>
        <w:t xml:space="preserve"> 61/11.</w:t>
      </w:r>
      <w:r w:rsidR="008A0A52" w:rsidRPr="00E5318C">
        <w:rPr>
          <w:sz w:val="22"/>
          <w:szCs w:val="22"/>
        </w:rPr>
        <w:t>,</w:t>
      </w:r>
      <w:r w:rsidR="008313E0" w:rsidRPr="00E5318C">
        <w:rPr>
          <w:sz w:val="22"/>
          <w:szCs w:val="22"/>
        </w:rPr>
        <w:t xml:space="preserve"> 04/18.</w:t>
      </w:r>
      <w:r w:rsidR="008A0A52" w:rsidRPr="00E5318C">
        <w:rPr>
          <w:sz w:val="22"/>
          <w:szCs w:val="22"/>
        </w:rPr>
        <w:t xml:space="preserve"> i 112/19.</w:t>
      </w:r>
      <w:r w:rsidRPr="00E5318C">
        <w:rPr>
          <w:sz w:val="22"/>
          <w:szCs w:val="22"/>
        </w:rPr>
        <w:t xml:space="preserve">), </w:t>
      </w:r>
      <w:r w:rsidR="00173FDA">
        <w:rPr>
          <w:sz w:val="22"/>
          <w:szCs w:val="22"/>
        </w:rPr>
        <w:t>pročelnik Upravnog odjela za financije, proračun i javnu nabavu u</w:t>
      </w:r>
      <w:r w:rsidR="008A0A52" w:rsidRPr="00E5318C">
        <w:rPr>
          <w:sz w:val="22"/>
          <w:szCs w:val="22"/>
        </w:rPr>
        <w:t xml:space="preserve"> Koprivničko-križevačk</w:t>
      </w:r>
      <w:r w:rsidR="00173FDA">
        <w:rPr>
          <w:sz w:val="22"/>
          <w:szCs w:val="22"/>
        </w:rPr>
        <w:t>oj</w:t>
      </w:r>
      <w:r w:rsidR="008A0A52" w:rsidRPr="00E5318C">
        <w:rPr>
          <w:sz w:val="22"/>
          <w:szCs w:val="22"/>
        </w:rPr>
        <w:t xml:space="preserve"> županij</w:t>
      </w:r>
      <w:r w:rsidR="00173FDA">
        <w:rPr>
          <w:sz w:val="22"/>
          <w:szCs w:val="22"/>
        </w:rPr>
        <w:t>i</w:t>
      </w:r>
      <w:r w:rsidR="008A0A52"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</w:rPr>
        <w:t xml:space="preserve">raspisao je </w:t>
      </w:r>
      <w:r w:rsidR="00173FDA">
        <w:rPr>
          <w:sz w:val="22"/>
          <w:szCs w:val="22"/>
        </w:rPr>
        <w:t>javni n</w:t>
      </w:r>
      <w:r w:rsidR="004C736C" w:rsidRPr="00E5318C">
        <w:rPr>
          <w:sz w:val="22"/>
          <w:szCs w:val="22"/>
        </w:rPr>
        <w:t>atječaj</w:t>
      </w:r>
    </w:p>
    <w:p w:rsidR="0044504D" w:rsidRDefault="0044504D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E5318C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</w:rPr>
        <w:t xml:space="preserve">koji je objavljen u </w:t>
      </w:r>
      <w:r w:rsidR="004C736C" w:rsidRPr="00E5318C">
        <w:rPr>
          <w:b/>
          <w:sz w:val="22"/>
          <w:szCs w:val="22"/>
          <w:u w:val="single"/>
        </w:rPr>
        <w:t>„Narodnim novinama“</w:t>
      </w:r>
      <w:r w:rsidRPr="00E5318C">
        <w:rPr>
          <w:b/>
          <w:sz w:val="22"/>
          <w:szCs w:val="22"/>
          <w:u w:val="single"/>
        </w:rPr>
        <w:t xml:space="preserve"> </w:t>
      </w:r>
      <w:r w:rsidR="00026931" w:rsidRPr="00E5318C">
        <w:rPr>
          <w:b/>
          <w:sz w:val="22"/>
          <w:szCs w:val="22"/>
          <w:u w:val="single"/>
        </w:rPr>
        <w:t xml:space="preserve">broj </w:t>
      </w:r>
      <w:r w:rsidR="008A0A52" w:rsidRPr="00E5318C">
        <w:rPr>
          <w:b/>
          <w:sz w:val="22"/>
          <w:szCs w:val="22"/>
          <w:u w:val="single"/>
        </w:rPr>
        <w:t xml:space="preserve"> </w:t>
      </w:r>
      <w:r w:rsidR="006A4770">
        <w:rPr>
          <w:b/>
          <w:sz w:val="22"/>
          <w:szCs w:val="22"/>
          <w:u w:val="single"/>
        </w:rPr>
        <w:t>66</w:t>
      </w:r>
      <w:r w:rsidR="00CA0754" w:rsidRPr="00E5318C">
        <w:rPr>
          <w:b/>
          <w:sz w:val="22"/>
          <w:szCs w:val="22"/>
          <w:u w:val="single"/>
        </w:rPr>
        <w:t>/2</w:t>
      </w:r>
      <w:r w:rsidR="007B4A4B" w:rsidRPr="00E5318C">
        <w:rPr>
          <w:b/>
          <w:sz w:val="22"/>
          <w:szCs w:val="22"/>
          <w:u w:val="single"/>
        </w:rPr>
        <w:t>1</w:t>
      </w:r>
      <w:r w:rsidR="00026931" w:rsidRPr="00E5318C">
        <w:rPr>
          <w:b/>
          <w:sz w:val="22"/>
          <w:szCs w:val="22"/>
          <w:u w:val="single"/>
        </w:rPr>
        <w:t>.</w:t>
      </w:r>
      <w:r w:rsidRPr="00E5318C">
        <w:rPr>
          <w:b/>
          <w:sz w:val="22"/>
          <w:szCs w:val="22"/>
          <w:u w:val="single"/>
        </w:rPr>
        <w:t xml:space="preserve"> od </w:t>
      </w:r>
      <w:r w:rsidR="006A4770">
        <w:rPr>
          <w:b/>
          <w:sz w:val="22"/>
          <w:szCs w:val="22"/>
          <w:u w:val="single"/>
        </w:rPr>
        <w:t>16. lipnja</w:t>
      </w:r>
      <w:r w:rsidR="007B4A4B" w:rsidRPr="00E5318C">
        <w:rPr>
          <w:b/>
          <w:sz w:val="22"/>
          <w:szCs w:val="22"/>
          <w:u w:val="single"/>
        </w:rPr>
        <w:t xml:space="preserve"> 2021</w:t>
      </w:r>
      <w:r w:rsidR="00802EEB" w:rsidRPr="00E5318C">
        <w:rPr>
          <w:b/>
          <w:sz w:val="22"/>
          <w:szCs w:val="22"/>
          <w:u w:val="single"/>
        </w:rPr>
        <w:t>.</w:t>
      </w:r>
      <w:r w:rsidRPr="00E5318C">
        <w:rPr>
          <w:b/>
          <w:sz w:val="22"/>
          <w:szCs w:val="22"/>
          <w:u w:val="single"/>
        </w:rPr>
        <w:t xml:space="preserve"> </w:t>
      </w:r>
    </w:p>
    <w:p w:rsidR="008A0A52" w:rsidRPr="004478D5" w:rsidRDefault="008A0A52" w:rsidP="001B66B5">
      <w:pPr>
        <w:pStyle w:val="Naslov1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4478D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ZA </w:t>
      </w:r>
      <w:r w:rsidR="004478D5" w:rsidRPr="004478D5">
        <w:rPr>
          <w:rFonts w:ascii="Times New Roman" w:hAnsi="Times New Roman" w:cs="Times New Roman"/>
          <w:b/>
          <w:color w:val="auto"/>
          <w:sz w:val="22"/>
          <w:szCs w:val="22"/>
        </w:rPr>
        <w:t>VIŠ</w:t>
      </w:r>
      <w:r w:rsidR="004478D5">
        <w:rPr>
          <w:rFonts w:ascii="Times New Roman" w:hAnsi="Times New Roman" w:cs="Times New Roman"/>
          <w:b/>
          <w:color w:val="auto"/>
          <w:sz w:val="22"/>
          <w:szCs w:val="22"/>
        </w:rPr>
        <w:t>EG</w:t>
      </w:r>
      <w:r w:rsidR="004478D5" w:rsidRPr="004478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STRUČN</w:t>
      </w:r>
      <w:r w:rsidR="004478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OG </w:t>
      </w:r>
      <w:r w:rsidR="004478D5" w:rsidRPr="004478D5">
        <w:rPr>
          <w:rFonts w:ascii="Times New Roman" w:hAnsi="Times New Roman" w:cs="Times New Roman"/>
          <w:b/>
          <w:color w:val="auto"/>
          <w:sz w:val="22"/>
          <w:szCs w:val="22"/>
        </w:rPr>
        <w:t>SURADNIK</w:t>
      </w:r>
      <w:r w:rsidR="004478D5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4478D5" w:rsidRPr="004478D5">
        <w:rPr>
          <w:rFonts w:ascii="Times New Roman" w:hAnsi="Times New Roman" w:cs="Times New Roman"/>
          <w:b/>
          <w:color w:val="auto"/>
          <w:sz w:val="22"/>
          <w:szCs w:val="22"/>
        </w:rPr>
        <w:t>/IC</w:t>
      </w:r>
      <w:r w:rsidR="004478D5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4478D5" w:rsidRPr="004478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EUROPSKE </w:t>
      </w:r>
      <w:r w:rsidR="001B66B5">
        <w:rPr>
          <w:rFonts w:ascii="Times New Roman" w:hAnsi="Times New Roman" w:cs="Times New Roman"/>
          <w:b/>
          <w:color w:val="auto"/>
          <w:sz w:val="22"/>
          <w:szCs w:val="22"/>
        </w:rPr>
        <w:t>FONDOVE</w:t>
      </w:r>
    </w:p>
    <w:p w:rsidR="008A0A52" w:rsidRPr="004478D5" w:rsidRDefault="008A0A52" w:rsidP="008A0A52">
      <w:pPr>
        <w:jc w:val="both"/>
        <w:rPr>
          <w:b/>
          <w:sz w:val="22"/>
          <w:szCs w:val="22"/>
        </w:rPr>
      </w:pPr>
    </w:p>
    <w:p w:rsidR="008A0A52" w:rsidRPr="00E5318C" w:rsidRDefault="008A0A52" w:rsidP="008A0A52">
      <w:pPr>
        <w:ind w:firstLine="708"/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>– jedan izvršitelj/ica, na neodređeno vrijeme, uz obavezni probni rad u trajanju od tri mjeseca.</w:t>
      </w:r>
    </w:p>
    <w:p w:rsidR="0047633C" w:rsidRPr="00E5318C" w:rsidRDefault="0047633C" w:rsidP="0047633C">
      <w:pPr>
        <w:jc w:val="both"/>
        <w:rPr>
          <w:b/>
          <w:sz w:val="22"/>
          <w:szCs w:val="22"/>
        </w:rPr>
      </w:pPr>
    </w:p>
    <w:p w:rsidR="004F6D7F" w:rsidRPr="00E5318C" w:rsidRDefault="004F6D7F" w:rsidP="004F6D7F">
      <w:pPr>
        <w:jc w:val="center"/>
        <w:rPr>
          <w:sz w:val="22"/>
          <w:szCs w:val="22"/>
        </w:rPr>
      </w:pPr>
      <w:r w:rsidRPr="00E5318C">
        <w:rPr>
          <w:sz w:val="22"/>
          <w:szCs w:val="22"/>
        </w:rPr>
        <w:t>te se sukladno navedenom daju upute kandidatima kako slijedi:</w:t>
      </w:r>
    </w:p>
    <w:p w:rsidR="004F6D7F" w:rsidRPr="00E5318C" w:rsidRDefault="004F6D7F" w:rsidP="004F6D7F">
      <w:pPr>
        <w:jc w:val="center"/>
        <w:rPr>
          <w:b/>
          <w:sz w:val="22"/>
          <w:szCs w:val="22"/>
        </w:rPr>
      </w:pPr>
    </w:p>
    <w:p w:rsidR="004F6D7F" w:rsidRPr="00E5318C" w:rsidRDefault="004F6D7F" w:rsidP="004F6D7F">
      <w:pPr>
        <w:jc w:val="center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>UPUTE  I  OBAVIJESTI  KANDIDATIMA</w:t>
      </w:r>
    </w:p>
    <w:p w:rsidR="0044504D" w:rsidRDefault="0044504D" w:rsidP="004F6D7F">
      <w:pPr>
        <w:rPr>
          <w:b/>
          <w:sz w:val="22"/>
          <w:szCs w:val="22"/>
        </w:rPr>
      </w:pPr>
    </w:p>
    <w:p w:rsidR="004F6D7F" w:rsidRPr="00E5318C" w:rsidRDefault="0044504D" w:rsidP="0044504D">
      <w:pPr>
        <w:ind w:firstLine="708"/>
        <w:jc w:val="both"/>
        <w:rPr>
          <w:b/>
          <w:sz w:val="22"/>
          <w:szCs w:val="22"/>
        </w:rPr>
      </w:pPr>
      <w:r w:rsidRPr="0044504D">
        <w:rPr>
          <w:b/>
          <w:sz w:val="22"/>
          <w:szCs w:val="22"/>
        </w:rPr>
        <w:t xml:space="preserve">Izrazi  koji  se  koriste  u  </w:t>
      </w:r>
      <w:r>
        <w:rPr>
          <w:b/>
          <w:sz w:val="22"/>
          <w:szCs w:val="22"/>
        </w:rPr>
        <w:t>ovim Uputama</w:t>
      </w:r>
      <w:r w:rsidRPr="0044504D">
        <w:rPr>
          <w:b/>
          <w:sz w:val="22"/>
          <w:szCs w:val="22"/>
        </w:rPr>
        <w:t>,  a  imaju rodno  značenje  koriste  se  neutralno  i  odnose  se jednako na muški i ženski spol.</w:t>
      </w:r>
    </w:p>
    <w:p w:rsidR="0044504D" w:rsidRDefault="0044504D" w:rsidP="004F6D7F">
      <w:pPr>
        <w:jc w:val="both"/>
        <w:rPr>
          <w:b/>
          <w:sz w:val="22"/>
          <w:szCs w:val="22"/>
          <w:u w:val="single"/>
        </w:rPr>
      </w:pPr>
    </w:p>
    <w:p w:rsidR="004F6D7F" w:rsidRPr="00E5318C" w:rsidRDefault="004F6D7F" w:rsidP="004F6D7F">
      <w:pPr>
        <w:jc w:val="both"/>
        <w:rPr>
          <w:b/>
          <w:sz w:val="22"/>
          <w:szCs w:val="22"/>
          <w:lang w:val="pl-PL"/>
        </w:rPr>
      </w:pPr>
      <w:r w:rsidRPr="00E5318C">
        <w:rPr>
          <w:b/>
          <w:sz w:val="22"/>
          <w:szCs w:val="22"/>
          <w:u w:val="single"/>
        </w:rPr>
        <w:t xml:space="preserve">Opis poslova radnog mjesta </w:t>
      </w:r>
      <w:r w:rsidRPr="00E5318C">
        <w:rPr>
          <w:b/>
          <w:sz w:val="22"/>
          <w:szCs w:val="22"/>
          <w:lang w:val="pl-PL"/>
        </w:rPr>
        <w:t xml:space="preserve"> </w:t>
      </w:r>
    </w:p>
    <w:p w:rsidR="00A06016" w:rsidRPr="00794E5E" w:rsidRDefault="00A06016" w:rsidP="00A06016">
      <w:pPr>
        <w:ind w:firstLine="317"/>
        <w:jc w:val="both"/>
        <w:rPr>
          <w:sz w:val="22"/>
          <w:szCs w:val="22"/>
          <w:lang w:eastAsia="hr-HR"/>
        </w:rPr>
      </w:pPr>
    </w:p>
    <w:p w:rsidR="00A06016" w:rsidRPr="00794E5E" w:rsidRDefault="00A06016" w:rsidP="00A06016">
      <w:pPr>
        <w:tabs>
          <w:tab w:val="left" w:pos="3690"/>
        </w:tabs>
        <w:ind w:firstLine="317"/>
        <w:jc w:val="both"/>
        <w:rPr>
          <w:sz w:val="22"/>
          <w:szCs w:val="22"/>
          <w:lang w:eastAsia="hr-HR"/>
        </w:rPr>
      </w:pPr>
      <w:r w:rsidRPr="00794E5E">
        <w:rPr>
          <w:sz w:val="22"/>
          <w:szCs w:val="22"/>
          <w:lang w:eastAsia="hr-HR"/>
        </w:rPr>
        <w:t xml:space="preserve">Surađuje na pripremi i provedbi projekata sufinanciranih iz fondova EU i ostalih međunarodnih i nacionalnih fondova, te državnih tijela (darovnice), surađuje s tijelima državne uprave, općinama, gradovima, županijama i ostalim subjektima. Izrađuje projektne prijedloge na osnovu idejnih projekata koji obuhvaćaju zajedničke interes više JLS na području Županije, te surađuje na pripremi i provedbi projekata sufinanciranih iz fondova EU i ostalih međunarodnih i nacionalnih fondova, te državnih tijela (darovnice). </w:t>
      </w:r>
      <w:r w:rsidRPr="00794E5E">
        <w:rPr>
          <w:sz w:val="22"/>
          <w:szCs w:val="22"/>
        </w:rPr>
        <w:t>Surađuje s konzultantima za tehničku pomoć u izradi dokumentacije potrebne za kandidiranje projekata kojih je nositelj Županija po natječajima iz inozemnih izvora sredstava i strukturnih i investicijskih fondova EU</w:t>
      </w:r>
      <w:r>
        <w:rPr>
          <w:sz w:val="22"/>
          <w:szCs w:val="22"/>
          <w:lang w:eastAsia="hr-HR"/>
        </w:rPr>
        <w:t xml:space="preserve">  </w:t>
      </w:r>
      <w:r w:rsidRPr="00794E5E">
        <w:rPr>
          <w:b/>
          <w:sz w:val="22"/>
          <w:szCs w:val="22"/>
          <w:lang w:eastAsia="hr-HR"/>
        </w:rPr>
        <w:t>40%</w:t>
      </w:r>
      <w:r w:rsidRPr="00794E5E">
        <w:rPr>
          <w:sz w:val="22"/>
          <w:szCs w:val="22"/>
          <w:lang w:eastAsia="hr-HR"/>
        </w:rPr>
        <w:t>.</w:t>
      </w:r>
    </w:p>
    <w:p w:rsidR="00A06016" w:rsidRPr="00794E5E" w:rsidRDefault="00A06016" w:rsidP="00A06016">
      <w:pPr>
        <w:tabs>
          <w:tab w:val="left" w:pos="3690"/>
        </w:tabs>
        <w:ind w:firstLine="317"/>
        <w:jc w:val="both"/>
        <w:rPr>
          <w:sz w:val="22"/>
          <w:szCs w:val="22"/>
          <w:lang w:eastAsia="hr-HR"/>
        </w:rPr>
      </w:pPr>
      <w:r w:rsidRPr="00794E5E">
        <w:rPr>
          <w:sz w:val="22"/>
          <w:szCs w:val="22"/>
          <w:lang w:eastAsia="hr-HR"/>
        </w:rPr>
        <w:t>Pribavlja i distribuira informacije o potencijalnim izvorima financiranja županijskih programa i projekata te programa gradova i općina, trgovačkih društava, ustanova i udruga državne i međunarodne razine</w:t>
      </w:r>
      <w:r>
        <w:rPr>
          <w:sz w:val="22"/>
          <w:szCs w:val="22"/>
          <w:lang w:eastAsia="hr-HR"/>
        </w:rPr>
        <w:t xml:space="preserve">  </w:t>
      </w:r>
      <w:r w:rsidRPr="00794E5E">
        <w:rPr>
          <w:b/>
          <w:sz w:val="22"/>
          <w:szCs w:val="22"/>
          <w:lang w:eastAsia="hr-HR"/>
        </w:rPr>
        <w:t>25%</w:t>
      </w:r>
      <w:r w:rsidRPr="00794E5E">
        <w:rPr>
          <w:sz w:val="22"/>
          <w:szCs w:val="22"/>
          <w:lang w:eastAsia="hr-HR"/>
        </w:rPr>
        <w:t>.</w:t>
      </w:r>
    </w:p>
    <w:p w:rsidR="00A06016" w:rsidRPr="00794E5E" w:rsidRDefault="00A06016" w:rsidP="00A06016">
      <w:pPr>
        <w:tabs>
          <w:tab w:val="left" w:pos="3702"/>
        </w:tabs>
        <w:ind w:firstLine="317"/>
        <w:jc w:val="both"/>
        <w:rPr>
          <w:sz w:val="22"/>
          <w:szCs w:val="22"/>
          <w:lang w:eastAsia="hr-HR"/>
        </w:rPr>
      </w:pPr>
      <w:r w:rsidRPr="00794E5E">
        <w:rPr>
          <w:sz w:val="22"/>
          <w:szCs w:val="22"/>
          <w:lang w:eastAsia="hr-HR"/>
        </w:rPr>
        <w:t>Pomaže u obavljanju poslova iz područja EU fondova te pomaže u obavljanju poslova informiranja i edukacije građana, civilnog sektora, gospodarstva i javnog sektora o procesima europskih integracija, Sudjeluje u organizaciji seminara i ostalih stručnih skupova iz djelokruga Službe</w:t>
      </w:r>
      <w:r>
        <w:rPr>
          <w:sz w:val="22"/>
          <w:szCs w:val="22"/>
          <w:lang w:eastAsia="hr-HR"/>
        </w:rPr>
        <w:t xml:space="preserve">  </w:t>
      </w:r>
      <w:r w:rsidRPr="00794E5E">
        <w:rPr>
          <w:b/>
          <w:sz w:val="22"/>
          <w:szCs w:val="22"/>
          <w:lang w:eastAsia="hr-HR"/>
        </w:rPr>
        <w:t>20%</w:t>
      </w:r>
      <w:r w:rsidRPr="00794E5E">
        <w:rPr>
          <w:sz w:val="22"/>
          <w:szCs w:val="22"/>
          <w:lang w:eastAsia="hr-HR"/>
        </w:rPr>
        <w:t>.</w:t>
      </w:r>
    </w:p>
    <w:p w:rsidR="007B4A4B" w:rsidRPr="00E5318C" w:rsidRDefault="00A06016" w:rsidP="00173FDA">
      <w:pPr>
        <w:tabs>
          <w:tab w:val="left" w:pos="3702"/>
        </w:tabs>
        <w:ind w:firstLine="317"/>
        <w:jc w:val="both"/>
        <w:rPr>
          <w:b/>
          <w:sz w:val="22"/>
          <w:szCs w:val="22"/>
          <w:u w:val="single"/>
          <w:lang w:val="pl-PL"/>
        </w:rPr>
      </w:pPr>
      <w:r w:rsidRPr="00794E5E">
        <w:rPr>
          <w:sz w:val="22"/>
          <w:szCs w:val="22"/>
        </w:rPr>
        <w:t>Sudjeluje u provođenju strateškog planiranja, planskih i programskih dokumenata, praćenju provedbe i izvještavanju o istima. Izrađuje polugodišnja i godišnja izvješća o izvršenju Proračuna prema programima/ projektima/ aktivnostima sukladno opisu poslova i nadležnosti  Službe te dostavlja podatke za izradu izvješća o radu župana sukladno opisu poslova i nadležnosti  Službe. Sudjeluje u radu tima za uvođenje odgovarajućeg sustava kvalitete, prema međunarodnim standardima u poslovni sustav Županije</w:t>
      </w:r>
      <w:r>
        <w:rPr>
          <w:sz w:val="22"/>
          <w:szCs w:val="22"/>
        </w:rPr>
        <w:t xml:space="preserve">   </w:t>
      </w:r>
      <w:r w:rsidRPr="00794E5E">
        <w:rPr>
          <w:b/>
          <w:sz w:val="22"/>
          <w:szCs w:val="22"/>
        </w:rPr>
        <w:t>10%</w:t>
      </w:r>
      <w:r w:rsidRPr="00794E5E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  <w:r w:rsidRPr="00794E5E">
        <w:rPr>
          <w:sz w:val="22"/>
          <w:szCs w:val="22"/>
        </w:rPr>
        <w:t>Obavlja</w:t>
      </w:r>
      <w:r>
        <w:rPr>
          <w:sz w:val="22"/>
          <w:szCs w:val="22"/>
        </w:rPr>
        <w:t xml:space="preserve"> </w:t>
      </w:r>
      <w:r w:rsidRPr="00794E5E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</w:t>
      </w:r>
      <w:r w:rsidRPr="00794E5E">
        <w:rPr>
          <w:sz w:val="22"/>
          <w:szCs w:val="22"/>
        </w:rPr>
        <w:t xml:space="preserve">druge </w:t>
      </w:r>
      <w:r>
        <w:rPr>
          <w:sz w:val="22"/>
          <w:szCs w:val="22"/>
        </w:rPr>
        <w:t xml:space="preserve"> </w:t>
      </w:r>
      <w:r w:rsidRPr="00794E5E">
        <w:rPr>
          <w:sz w:val="22"/>
          <w:szCs w:val="22"/>
        </w:rPr>
        <w:t xml:space="preserve">poslove </w:t>
      </w:r>
      <w:r>
        <w:rPr>
          <w:sz w:val="22"/>
          <w:szCs w:val="22"/>
        </w:rPr>
        <w:t xml:space="preserve"> </w:t>
      </w:r>
      <w:r w:rsidRPr="00794E5E">
        <w:rPr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 w:rsidRPr="00794E5E">
        <w:rPr>
          <w:sz w:val="22"/>
          <w:szCs w:val="22"/>
        </w:rPr>
        <w:t xml:space="preserve"> nalogu </w:t>
      </w:r>
      <w:r>
        <w:rPr>
          <w:sz w:val="22"/>
          <w:szCs w:val="22"/>
        </w:rPr>
        <w:t xml:space="preserve"> </w:t>
      </w:r>
      <w:r w:rsidRPr="00794E5E">
        <w:rPr>
          <w:sz w:val="22"/>
          <w:szCs w:val="22"/>
        </w:rPr>
        <w:t xml:space="preserve">pročelnika </w:t>
      </w:r>
      <w:r w:rsidRPr="00794E5E">
        <w:rPr>
          <w:b/>
          <w:sz w:val="22"/>
          <w:szCs w:val="22"/>
        </w:rPr>
        <w:t>5%</w:t>
      </w:r>
      <w:r w:rsidRPr="00794E5E">
        <w:rPr>
          <w:sz w:val="22"/>
          <w:szCs w:val="22"/>
        </w:rPr>
        <w:t>.</w:t>
      </w: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A0A52" w:rsidRPr="00E5318C" w:rsidTr="007B4A4B">
        <w:tc>
          <w:tcPr>
            <w:tcW w:w="9498" w:type="dxa"/>
          </w:tcPr>
          <w:p w:rsidR="008A0A52" w:rsidRPr="00E5318C" w:rsidRDefault="008A0A52" w:rsidP="007B4A4B">
            <w:pPr>
              <w:ind w:firstLine="317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C085F" w:rsidRDefault="002C085F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F6D7F" w:rsidRPr="00E5318C" w:rsidRDefault="004F6D7F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  <w:r w:rsidRPr="00E5318C">
        <w:rPr>
          <w:b/>
          <w:sz w:val="22"/>
          <w:szCs w:val="22"/>
          <w:u w:val="single"/>
          <w:lang w:val="pl-PL"/>
        </w:rPr>
        <w:t>Podaci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o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pla</w:t>
      </w:r>
      <w:r w:rsidRPr="00E5318C">
        <w:rPr>
          <w:b/>
          <w:sz w:val="22"/>
          <w:szCs w:val="22"/>
          <w:u w:val="single"/>
        </w:rPr>
        <w:t>ć</w:t>
      </w:r>
      <w:r w:rsidRPr="00E5318C">
        <w:rPr>
          <w:b/>
          <w:sz w:val="22"/>
          <w:szCs w:val="22"/>
          <w:u w:val="single"/>
          <w:lang w:val="pl-PL"/>
        </w:rPr>
        <w:t>i</w:t>
      </w:r>
    </w:p>
    <w:p w:rsidR="007B4A4B" w:rsidRPr="00E5318C" w:rsidRDefault="007B4A4B" w:rsidP="004F6D7F">
      <w:pPr>
        <w:ind w:right="34"/>
        <w:jc w:val="both"/>
        <w:rPr>
          <w:b/>
          <w:sz w:val="22"/>
          <w:szCs w:val="22"/>
          <w:u w:val="single"/>
        </w:rPr>
      </w:pPr>
    </w:p>
    <w:p w:rsidR="007B4A4B" w:rsidRPr="00E5318C" w:rsidRDefault="007B4A4B" w:rsidP="007B4A4B">
      <w:pPr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 xml:space="preserve">Podaci o plaći radnog mjesta propisani su </w:t>
      </w:r>
      <w:r w:rsidRPr="00E5318C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 i 7/20.) osnovica je određena u iznosu 2.230,00 kuna </w:t>
      </w:r>
      <w:r w:rsidRPr="00E5318C">
        <w:rPr>
          <w:sz w:val="22"/>
          <w:szCs w:val="22"/>
          <w:lang w:val="pl-PL"/>
        </w:rPr>
        <w:t xml:space="preserve">i Odlukom o koeficijentima za obračun plaće službenika i namještenika u upravnim tijelima Koprivničko-križevačke županije ("Službeni glasnik Koprivničko-križevačke županije" broj 18/19.), za poslove </w:t>
      </w:r>
      <w:r w:rsidR="002C085F">
        <w:rPr>
          <w:sz w:val="22"/>
          <w:szCs w:val="22"/>
          <w:lang w:val="pl-PL"/>
        </w:rPr>
        <w:t>višeg stručnog suradnika</w:t>
      </w:r>
      <w:r w:rsidRPr="00E5318C">
        <w:rPr>
          <w:sz w:val="22"/>
          <w:szCs w:val="22"/>
          <w:lang w:val="pl-PL"/>
        </w:rPr>
        <w:t xml:space="preserve"> je koeficijent  </w:t>
      </w:r>
      <w:r w:rsidR="002C085F">
        <w:rPr>
          <w:sz w:val="22"/>
          <w:szCs w:val="22"/>
          <w:lang w:val="pl-PL"/>
        </w:rPr>
        <w:t>3,95</w:t>
      </w:r>
      <w:r w:rsidRPr="00E5318C">
        <w:rPr>
          <w:sz w:val="22"/>
          <w:szCs w:val="22"/>
          <w:lang w:val="pl-PL"/>
        </w:rPr>
        <w:t>. Slijedom navedenog plaća čini umnožak osnovice za obračun plaća i koeficijenta složenosti poslova uvećan za 0,5 % za svaku navršenu godinu radnog staža.</w:t>
      </w:r>
    </w:p>
    <w:p w:rsidR="008A0A52" w:rsidRPr="00E5318C" w:rsidRDefault="008A0A52" w:rsidP="008A0A52">
      <w:pPr>
        <w:jc w:val="both"/>
        <w:rPr>
          <w:sz w:val="22"/>
          <w:szCs w:val="22"/>
          <w:lang w:val="pl-PL"/>
        </w:rPr>
      </w:pPr>
    </w:p>
    <w:p w:rsidR="00331EEB" w:rsidRDefault="00331EEB" w:rsidP="004F6D7F">
      <w:pPr>
        <w:jc w:val="both"/>
        <w:rPr>
          <w:b/>
          <w:sz w:val="22"/>
          <w:szCs w:val="22"/>
        </w:rPr>
      </w:pPr>
    </w:p>
    <w:p w:rsidR="004F6D7F" w:rsidRPr="00E5318C" w:rsidRDefault="004F6D7F" w:rsidP="004F6D7F">
      <w:pPr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2C3FFE" w:rsidRPr="00E5318C">
        <w:rPr>
          <w:b/>
          <w:sz w:val="22"/>
          <w:szCs w:val="22"/>
        </w:rPr>
        <w:t>Natječaja</w:t>
      </w:r>
      <w:r w:rsidRPr="00E5318C">
        <w:rPr>
          <w:b/>
          <w:sz w:val="22"/>
          <w:szCs w:val="22"/>
        </w:rPr>
        <w:t>. Prethodna provjera znanja</w:t>
      </w:r>
      <w:r w:rsidR="00404E56" w:rsidRPr="00E5318C">
        <w:rPr>
          <w:b/>
          <w:sz w:val="22"/>
          <w:szCs w:val="22"/>
        </w:rPr>
        <w:t xml:space="preserve"> (opći i posebni dio)</w:t>
      </w:r>
      <w:r w:rsidRPr="00E5318C">
        <w:rPr>
          <w:b/>
          <w:sz w:val="22"/>
          <w:szCs w:val="22"/>
        </w:rPr>
        <w:t xml:space="preserve"> i sposobnosti kandidata</w:t>
      </w:r>
      <w:r w:rsidR="00404E56" w:rsidRPr="00E5318C">
        <w:rPr>
          <w:b/>
          <w:sz w:val="22"/>
          <w:szCs w:val="22"/>
        </w:rPr>
        <w:t xml:space="preserve"> (znanje rada na računalu</w:t>
      </w:r>
      <w:r w:rsidR="0022445A">
        <w:rPr>
          <w:b/>
          <w:sz w:val="22"/>
          <w:szCs w:val="22"/>
        </w:rPr>
        <w:t xml:space="preserve"> </w:t>
      </w:r>
      <w:r w:rsidR="00F61771">
        <w:rPr>
          <w:b/>
          <w:sz w:val="22"/>
          <w:szCs w:val="22"/>
        </w:rPr>
        <w:t xml:space="preserve"> i znanje engleskog jezika </w:t>
      </w:r>
      <w:r w:rsidR="0022445A">
        <w:rPr>
          <w:b/>
          <w:sz w:val="22"/>
          <w:szCs w:val="22"/>
        </w:rPr>
        <w:t>kroz</w:t>
      </w:r>
      <w:r w:rsidR="00802EEB" w:rsidRPr="00E5318C">
        <w:rPr>
          <w:b/>
          <w:sz w:val="22"/>
          <w:szCs w:val="22"/>
        </w:rPr>
        <w:t xml:space="preserve"> pisani test</w:t>
      </w:r>
      <w:r w:rsidR="00404E56" w:rsidRPr="00E5318C">
        <w:rPr>
          <w:b/>
          <w:sz w:val="22"/>
          <w:szCs w:val="22"/>
        </w:rPr>
        <w:t>)</w:t>
      </w:r>
      <w:r w:rsidRPr="00E5318C">
        <w:rPr>
          <w:b/>
          <w:sz w:val="22"/>
          <w:szCs w:val="22"/>
        </w:rPr>
        <w:t xml:space="preserve"> obavlja se putem pisanog testiranja </w:t>
      </w:r>
      <w:r w:rsidR="00F61771">
        <w:rPr>
          <w:b/>
          <w:sz w:val="22"/>
          <w:szCs w:val="22"/>
        </w:rPr>
        <w:t>te</w:t>
      </w:r>
      <w:r w:rsidRPr="00E5318C">
        <w:rPr>
          <w:b/>
          <w:sz w:val="22"/>
          <w:szCs w:val="22"/>
        </w:rPr>
        <w:t xml:space="preserve"> intervjua. </w:t>
      </w:r>
    </w:p>
    <w:p w:rsidR="00505D8A" w:rsidRPr="00E5318C" w:rsidRDefault="00505D8A" w:rsidP="00505D8A">
      <w:pPr>
        <w:jc w:val="center"/>
        <w:rPr>
          <w:b/>
          <w:sz w:val="22"/>
          <w:szCs w:val="22"/>
        </w:rPr>
      </w:pPr>
    </w:p>
    <w:p w:rsidR="0047743F" w:rsidRPr="00E5318C" w:rsidRDefault="0047743F" w:rsidP="00505D8A">
      <w:pPr>
        <w:jc w:val="center"/>
        <w:rPr>
          <w:b/>
          <w:sz w:val="22"/>
          <w:szCs w:val="22"/>
        </w:rPr>
      </w:pPr>
    </w:p>
    <w:p w:rsidR="004F6D7F" w:rsidRPr="00E5318C" w:rsidRDefault="004F6D7F" w:rsidP="00170BE7">
      <w:pPr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</w:rPr>
        <w:t>PRAVNI IZVORI ZA PRIPREMANJE KANDIDATA ZA TESTIRANJE</w:t>
      </w:r>
    </w:p>
    <w:p w:rsidR="004F6D7F" w:rsidRPr="00E5318C" w:rsidRDefault="004F6D7F" w:rsidP="004F6D7F">
      <w:pPr>
        <w:jc w:val="both"/>
        <w:rPr>
          <w:b/>
          <w:sz w:val="22"/>
          <w:szCs w:val="22"/>
        </w:rPr>
      </w:pPr>
    </w:p>
    <w:p w:rsidR="007B4A4B" w:rsidRPr="00E5318C" w:rsidRDefault="007B4A4B" w:rsidP="004F6D7F">
      <w:pPr>
        <w:jc w:val="both"/>
        <w:rPr>
          <w:b/>
          <w:sz w:val="22"/>
          <w:szCs w:val="22"/>
        </w:rPr>
      </w:pPr>
    </w:p>
    <w:p w:rsidR="004F6D7F" w:rsidRPr="00E5318C" w:rsidRDefault="004F6D7F" w:rsidP="00F877CA">
      <w:pPr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  <w:lang w:val="pl-PL"/>
        </w:rPr>
        <w:t>Provjera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znanja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bitnih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za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obavljanje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poslova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radnog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mjesta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na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koje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se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prima</w:t>
      </w:r>
      <w:r w:rsidRPr="00E5318C">
        <w:rPr>
          <w:b/>
          <w:sz w:val="22"/>
          <w:szCs w:val="22"/>
        </w:rPr>
        <w:t xml:space="preserve"> – </w:t>
      </w:r>
      <w:r w:rsidRPr="00E5318C">
        <w:rPr>
          <w:b/>
          <w:sz w:val="22"/>
          <w:szCs w:val="22"/>
          <w:u w:val="single"/>
          <w:lang w:val="pl-PL"/>
        </w:rPr>
        <w:t>PIS</w:t>
      </w:r>
      <w:r w:rsidR="00170BE7" w:rsidRPr="00E5318C">
        <w:rPr>
          <w:b/>
          <w:sz w:val="22"/>
          <w:szCs w:val="22"/>
          <w:u w:val="single"/>
          <w:lang w:val="pl-PL"/>
        </w:rPr>
        <w:t>A</w:t>
      </w:r>
      <w:r w:rsidRPr="00E5318C">
        <w:rPr>
          <w:b/>
          <w:sz w:val="22"/>
          <w:szCs w:val="22"/>
          <w:u w:val="single"/>
          <w:lang w:val="pl-PL"/>
        </w:rPr>
        <w:t>NA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PROVJERA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ZNANJA</w:t>
      </w:r>
      <w:r w:rsidRPr="00E5318C">
        <w:rPr>
          <w:b/>
          <w:sz w:val="22"/>
          <w:szCs w:val="22"/>
        </w:rPr>
        <w:t xml:space="preserve"> </w:t>
      </w:r>
    </w:p>
    <w:p w:rsidR="004F6D7F" w:rsidRPr="00E5318C" w:rsidRDefault="004F6D7F" w:rsidP="004F6D7F">
      <w:pPr>
        <w:jc w:val="both"/>
        <w:rPr>
          <w:sz w:val="22"/>
          <w:szCs w:val="22"/>
        </w:rPr>
      </w:pPr>
      <w:proofErr w:type="spellStart"/>
      <w:r w:rsidRPr="00E5318C">
        <w:rPr>
          <w:sz w:val="22"/>
          <w:szCs w:val="22"/>
          <w:lang w:val="it-IT"/>
        </w:rPr>
        <w:t>Pitanja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kojima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testira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provjera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znanja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bitnih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za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obavljanje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poslova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radnog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mjesta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za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koje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je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raspisan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javni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="007B4A4B" w:rsidRPr="00E5318C">
        <w:rPr>
          <w:sz w:val="22"/>
          <w:szCs w:val="22"/>
          <w:lang w:val="it-IT"/>
        </w:rPr>
        <w:t>natječaj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temelje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na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slijede</w:t>
      </w:r>
      <w:proofErr w:type="spellEnd"/>
      <w:r w:rsidRPr="00E5318C">
        <w:rPr>
          <w:sz w:val="22"/>
          <w:szCs w:val="22"/>
        </w:rPr>
        <w:t>ć</w:t>
      </w:r>
      <w:proofErr w:type="spellStart"/>
      <w:r w:rsidRPr="00E5318C">
        <w:rPr>
          <w:sz w:val="22"/>
          <w:szCs w:val="22"/>
          <w:lang w:val="it-IT"/>
        </w:rPr>
        <w:t>im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propisima</w:t>
      </w:r>
      <w:proofErr w:type="spellEnd"/>
      <w:r w:rsidRPr="00E5318C">
        <w:rPr>
          <w:sz w:val="22"/>
          <w:szCs w:val="22"/>
        </w:rPr>
        <w:t xml:space="preserve">: </w:t>
      </w:r>
    </w:p>
    <w:p w:rsidR="00C06C43" w:rsidRPr="00E5318C" w:rsidRDefault="00C06C43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8A0A52" w:rsidRDefault="008A0A52" w:rsidP="008A0A52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E5318C">
        <w:rPr>
          <w:noProof/>
          <w:sz w:val="22"/>
          <w:szCs w:val="22"/>
          <w:u w:val="single"/>
          <w:lang w:val="pl-PL" w:eastAsia="hr-HR"/>
        </w:rPr>
        <w:t>OPĆI DIO:</w:t>
      </w:r>
    </w:p>
    <w:p w:rsidR="00E5318C" w:rsidRPr="00E5318C" w:rsidRDefault="00E5318C" w:rsidP="008A0A52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</w:p>
    <w:p w:rsidR="008A0A52" w:rsidRPr="00E5318C" w:rsidRDefault="008A0A52" w:rsidP="007B4A4B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E5318C">
        <w:rPr>
          <w:bCs/>
          <w:iCs/>
          <w:sz w:val="22"/>
          <w:szCs w:val="22"/>
          <w:lang w:eastAsia="hr-HR"/>
        </w:rPr>
        <w:t xml:space="preserve">Ustav </w:t>
      </w:r>
      <w:r w:rsidRPr="00E5318C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E5318C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8A0A52" w:rsidRPr="00E5318C" w:rsidRDefault="008A0A52" w:rsidP="008A0A52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E5318C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E5318C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</w:t>
      </w:r>
      <w:r w:rsidR="0022445A">
        <w:rPr>
          <w:color w:val="000000"/>
          <w:sz w:val="22"/>
          <w:szCs w:val="22"/>
          <w:lang w:eastAsia="hr-HR"/>
        </w:rPr>
        <w:t>,</w:t>
      </w:r>
      <w:r w:rsidRPr="00E5318C">
        <w:rPr>
          <w:color w:val="000000"/>
          <w:sz w:val="22"/>
          <w:szCs w:val="22"/>
          <w:lang w:eastAsia="hr-HR"/>
        </w:rPr>
        <w:t xml:space="preserve"> 98/19.</w:t>
      </w:r>
      <w:r w:rsidR="0022445A">
        <w:rPr>
          <w:color w:val="000000"/>
          <w:sz w:val="22"/>
          <w:szCs w:val="22"/>
          <w:lang w:eastAsia="hr-HR"/>
        </w:rPr>
        <w:t xml:space="preserve"> i 144/20.</w:t>
      </w:r>
      <w:r w:rsidRPr="00E5318C">
        <w:rPr>
          <w:color w:val="000000"/>
          <w:sz w:val="22"/>
          <w:szCs w:val="22"/>
          <w:lang w:eastAsia="hr-HR"/>
        </w:rPr>
        <w:t>),</w:t>
      </w:r>
    </w:p>
    <w:p w:rsidR="00B52E96" w:rsidRPr="00B52E96" w:rsidRDefault="007B4A4B" w:rsidP="00B52E96">
      <w:pPr>
        <w:spacing w:before="100" w:beforeAutospacing="1" w:after="100" w:afterAutospacing="1"/>
        <w:jc w:val="both"/>
        <w:rPr>
          <w:sz w:val="24"/>
          <w:szCs w:val="24"/>
          <w:lang w:eastAsia="hr-HR"/>
        </w:rPr>
      </w:pPr>
      <w:r w:rsidRPr="00E5318C">
        <w:rPr>
          <w:sz w:val="22"/>
          <w:szCs w:val="22"/>
        </w:rPr>
        <w:t> </w:t>
      </w:r>
      <w:r w:rsidR="00B52E96" w:rsidRPr="00B52E96">
        <w:rPr>
          <w:sz w:val="22"/>
          <w:szCs w:val="22"/>
          <w:u w:val="single"/>
          <w:lang w:eastAsia="hr-HR"/>
        </w:rPr>
        <w:t>POSEBNI DIO: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2"/>
          <w:szCs w:val="22"/>
          <w:lang w:eastAsia="hr-HR"/>
        </w:rPr>
        <w:t> </w:t>
      </w:r>
      <w:r w:rsidRPr="00B52E96">
        <w:rPr>
          <w:sz w:val="24"/>
          <w:szCs w:val="24"/>
          <w:lang w:eastAsia="hr-HR"/>
        </w:rPr>
        <w:t>1.</w:t>
      </w:r>
      <w:r w:rsidRPr="00B52E96">
        <w:rPr>
          <w:sz w:val="14"/>
          <w:szCs w:val="14"/>
          <w:lang w:eastAsia="hr-HR"/>
        </w:rPr>
        <w:t xml:space="preserve">      </w:t>
      </w:r>
      <w:r w:rsidRPr="00B52E96">
        <w:rPr>
          <w:sz w:val="24"/>
          <w:szCs w:val="24"/>
          <w:lang w:eastAsia="hr-HR"/>
        </w:rPr>
        <w:t xml:space="preserve">Europa 2020 - Strategija za pametan, održiv i </w:t>
      </w:r>
      <w:proofErr w:type="spellStart"/>
      <w:r w:rsidRPr="00B52E96">
        <w:rPr>
          <w:sz w:val="24"/>
          <w:szCs w:val="24"/>
          <w:lang w:eastAsia="hr-HR"/>
        </w:rPr>
        <w:t>uključiv</w:t>
      </w:r>
      <w:proofErr w:type="spellEnd"/>
      <w:r w:rsidRPr="00B52E96">
        <w:rPr>
          <w:sz w:val="24"/>
          <w:szCs w:val="24"/>
          <w:lang w:eastAsia="hr-HR"/>
        </w:rPr>
        <w:t xml:space="preserve"> rast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 </w:t>
      </w:r>
      <w:hyperlink r:id="rId7" w:tgtFrame="_blank" w:history="1">
        <w:r w:rsidRPr="00B52E96">
          <w:rPr>
            <w:color w:val="0000FF"/>
            <w:sz w:val="24"/>
            <w:szCs w:val="24"/>
            <w:u w:val="single"/>
            <w:lang w:eastAsia="hr-HR"/>
          </w:rPr>
          <w:t>https://strukturnifondovi.hr/dokumenti/</w:t>
        </w:r>
      </w:hyperlink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 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2.</w:t>
      </w:r>
      <w:r w:rsidRPr="00B52E96">
        <w:rPr>
          <w:sz w:val="14"/>
          <w:szCs w:val="14"/>
          <w:lang w:eastAsia="hr-HR"/>
        </w:rPr>
        <w:t xml:space="preserve">      </w:t>
      </w:r>
      <w:r w:rsidRPr="00B52E96">
        <w:rPr>
          <w:sz w:val="24"/>
          <w:szCs w:val="24"/>
          <w:lang w:eastAsia="hr-HR"/>
        </w:rPr>
        <w:t>Operativni program Učinkoviti ljudski potencijali 2014. – 2020.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3.</w:t>
      </w:r>
      <w:r w:rsidRPr="00B52E96">
        <w:rPr>
          <w:sz w:val="14"/>
          <w:szCs w:val="14"/>
          <w:lang w:eastAsia="hr-HR"/>
        </w:rPr>
        <w:t xml:space="preserve">      </w:t>
      </w:r>
      <w:r w:rsidRPr="00B52E96">
        <w:rPr>
          <w:sz w:val="24"/>
          <w:szCs w:val="24"/>
          <w:lang w:eastAsia="hr-HR"/>
        </w:rPr>
        <w:t>Operativni program Konkurentnost i kohezija 2014. – 2020.</w:t>
      </w:r>
    </w:p>
    <w:p w:rsidR="00B52E96" w:rsidRPr="00B52E96" w:rsidRDefault="00FC6CCA" w:rsidP="0021084C">
      <w:pPr>
        <w:jc w:val="both"/>
        <w:rPr>
          <w:sz w:val="24"/>
          <w:szCs w:val="24"/>
          <w:lang w:eastAsia="hr-HR"/>
        </w:rPr>
      </w:pPr>
      <w:hyperlink r:id="rId8" w:tgtFrame="_blank" w:history="1">
        <w:r w:rsidR="00B52E96" w:rsidRPr="00B52E96">
          <w:rPr>
            <w:color w:val="0000FF"/>
            <w:sz w:val="24"/>
            <w:szCs w:val="24"/>
            <w:u w:val="single"/>
            <w:lang w:eastAsia="hr-HR"/>
          </w:rPr>
          <w:t>https://strukturnifondovi.hr/dokumenti/?doc_id=533&amp;fondovi=esi_fondovi</w:t>
        </w:r>
      </w:hyperlink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 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4.</w:t>
      </w:r>
      <w:r w:rsidRPr="00B52E96">
        <w:rPr>
          <w:sz w:val="14"/>
          <w:szCs w:val="14"/>
          <w:lang w:eastAsia="hr-HR"/>
        </w:rPr>
        <w:t xml:space="preserve">      </w:t>
      </w:r>
      <w:r w:rsidRPr="00B52E96">
        <w:rPr>
          <w:sz w:val="24"/>
          <w:szCs w:val="24"/>
          <w:lang w:eastAsia="hr-HR"/>
        </w:rPr>
        <w:t xml:space="preserve">Pravilnik o prihvatljivosti izdataka za projekte Operativnog programa Konkurentnost i kohezija u financijskom razdoblju 2014.-2020. 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5.</w:t>
      </w:r>
      <w:r w:rsidRPr="00B52E96">
        <w:rPr>
          <w:sz w:val="14"/>
          <w:szCs w:val="14"/>
          <w:lang w:eastAsia="hr-HR"/>
        </w:rPr>
        <w:t xml:space="preserve">      </w:t>
      </w:r>
      <w:hyperlink r:id="rId9" w:tgtFrame="_blank" w:history="1">
        <w:r w:rsidRPr="00B52E96">
          <w:rPr>
            <w:sz w:val="24"/>
            <w:szCs w:val="24"/>
            <w:lang w:eastAsia="hr-HR"/>
          </w:rPr>
          <w:t>Pravilnik o prihvatljivosti izdataka za projekte Operativnog programa Učinkoviti ljudski potencijali u financijskom razdoblju 2014.-2020.</w:t>
        </w:r>
      </w:hyperlink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6.</w:t>
      </w:r>
      <w:r w:rsidRPr="00B52E96">
        <w:rPr>
          <w:sz w:val="14"/>
          <w:szCs w:val="14"/>
          <w:lang w:eastAsia="hr-HR"/>
        </w:rPr>
        <w:t xml:space="preserve">      </w:t>
      </w:r>
      <w:hyperlink r:id="rId10" w:tgtFrame="_blank" w:history="1">
        <w:r w:rsidRPr="00B52E96">
          <w:rPr>
            <w:sz w:val="24"/>
            <w:szCs w:val="24"/>
            <w:lang w:eastAsia="hr-HR"/>
          </w:rPr>
          <w:t>Prilog-1_Opći-uvjeti</w:t>
        </w:r>
      </w:hyperlink>
    </w:p>
    <w:p w:rsidR="00B52E96" w:rsidRPr="00B52E96" w:rsidRDefault="00FC6CCA" w:rsidP="0021084C">
      <w:pPr>
        <w:jc w:val="both"/>
        <w:rPr>
          <w:sz w:val="24"/>
          <w:szCs w:val="24"/>
          <w:lang w:eastAsia="hr-HR"/>
        </w:rPr>
      </w:pPr>
      <w:hyperlink r:id="rId11" w:tgtFrame="_blank" w:history="1">
        <w:r w:rsidR="00B52E96" w:rsidRPr="00B52E96">
          <w:rPr>
            <w:color w:val="0000FF"/>
            <w:sz w:val="24"/>
            <w:szCs w:val="24"/>
            <w:u w:val="single"/>
            <w:lang w:eastAsia="hr-HR"/>
          </w:rPr>
          <w:t>https://strukturnifondovi.hr/dokumenti/?doc_id=549&amp;fondovi=esi_fondovi</w:t>
        </w:r>
      </w:hyperlink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 </w:t>
      </w:r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7.</w:t>
      </w:r>
      <w:r w:rsidRPr="00B52E96">
        <w:rPr>
          <w:sz w:val="14"/>
          <w:szCs w:val="14"/>
          <w:lang w:eastAsia="hr-HR"/>
        </w:rPr>
        <w:t xml:space="preserve">      </w:t>
      </w:r>
      <w:hyperlink r:id="rId12" w:tgtFrame="_blank" w:history="1">
        <w:r w:rsidRPr="00B52E96">
          <w:rPr>
            <w:sz w:val="24"/>
            <w:szCs w:val="24"/>
            <w:lang w:eastAsia="hr-HR"/>
          </w:rPr>
          <w:t>Upute za korisnike sredstava Informiranje, komunikacija i vidljivost</w:t>
        </w:r>
      </w:hyperlink>
    </w:p>
    <w:p w:rsidR="00B52E96" w:rsidRPr="00B52E96" w:rsidRDefault="00B52E96" w:rsidP="0021084C">
      <w:pPr>
        <w:jc w:val="both"/>
        <w:rPr>
          <w:sz w:val="24"/>
          <w:szCs w:val="24"/>
          <w:lang w:eastAsia="hr-HR"/>
        </w:rPr>
      </w:pPr>
      <w:r w:rsidRPr="00B52E96">
        <w:rPr>
          <w:sz w:val="24"/>
          <w:szCs w:val="24"/>
          <w:lang w:eastAsia="hr-HR"/>
        </w:rPr>
        <w:t>8.</w:t>
      </w:r>
      <w:r w:rsidRPr="00B52E96">
        <w:rPr>
          <w:sz w:val="14"/>
          <w:szCs w:val="14"/>
          <w:lang w:eastAsia="hr-HR"/>
        </w:rPr>
        <w:t xml:space="preserve">      </w:t>
      </w:r>
      <w:hyperlink r:id="rId13" w:tgtFrame="_blank" w:history="1">
        <w:r w:rsidRPr="00B52E96">
          <w:rPr>
            <w:sz w:val="24"/>
            <w:szCs w:val="24"/>
            <w:lang w:eastAsia="hr-HR"/>
          </w:rPr>
          <w:t>SAFU Priručnik za korisnike bespovratnih sredstava u okviru projekata financiranih iz europskih strukturnih i investicijskih fondova</w:t>
        </w:r>
      </w:hyperlink>
    </w:p>
    <w:p w:rsidR="00B52E96" w:rsidRPr="00B52E96" w:rsidRDefault="00FC6CCA" w:rsidP="0021084C">
      <w:pPr>
        <w:jc w:val="both"/>
        <w:rPr>
          <w:sz w:val="24"/>
          <w:szCs w:val="24"/>
          <w:lang w:eastAsia="hr-HR"/>
        </w:rPr>
      </w:pPr>
      <w:hyperlink r:id="rId14" w:tgtFrame="_blank" w:history="1">
        <w:r w:rsidR="00B52E96" w:rsidRPr="00B52E96">
          <w:rPr>
            <w:color w:val="0000FF"/>
            <w:sz w:val="24"/>
            <w:szCs w:val="24"/>
            <w:u w:val="single"/>
            <w:lang w:eastAsia="hr-HR"/>
          </w:rPr>
          <w:t>https://strukturnifondovi.hr/dokumenti/?doc_id=1636&amp;fondovi=esi_fondovi</w:t>
        </w:r>
      </w:hyperlink>
    </w:p>
    <w:p w:rsidR="0087754E" w:rsidRPr="00E5318C" w:rsidRDefault="007B4A4B" w:rsidP="00D33E8A">
      <w:pPr>
        <w:pStyle w:val="m-909147715870799931msolistparagraph"/>
        <w:rPr>
          <w:b/>
          <w:noProof/>
          <w:sz w:val="22"/>
          <w:szCs w:val="22"/>
          <w:lang w:val="pl-PL"/>
        </w:rPr>
      </w:pPr>
      <w:r w:rsidRPr="00E5318C">
        <w:rPr>
          <w:sz w:val="22"/>
          <w:szCs w:val="22"/>
        </w:rPr>
        <w:t xml:space="preserve">     </w:t>
      </w:r>
      <w:r w:rsidR="0087754E" w:rsidRPr="00E5318C">
        <w:rPr>
          <w:b/>
          <w:noProof/>
          <w:sz w:val="22"/>
          <w:szCs w:val="22"/>
          <w:lang w:val="pl-PL"/>
        </w:rPr>
        <w:t>---------------------------------------</w:t>
      </w:r>
      <w:r w:rsidR="00633710">
        <w:rPr>
          <w:b/>
          <w:noProof/>
          <w:sz w:val="22"/>
          <w:szCs w:val="22"/>
          <w:lang w:val="pl-PL"/>
        </w:rPr>
        <w:t>---------------------------------</w:t>
      </w:r>
      <w:r w:rsidR="0087754E" w:rsidRPr="00E5318C">
        <w:rPr>
          <w:b/>
          <w:noProof/>
          <w:sz w:val="22"/>
          <w:szCs w:val="22"/>
          <w:lang w:val="pl-PL"/>
        </w:rPr>
        <w:t>--------------------------------------</w:t>
      </w:r>
    </w:p>
    <w:p w:rsidR="004C736C" w:rsidRPr="00E5318C" w:rsidRDefault="0087754E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2"/>
          <w:szCs w:val="22"/>
          <w:lang w:val="pl-PL"/>
        </w:rPr>
      </w:pPr>
      <w:r w:rsidRPr="00E5318C">
        <w:rPr>
          <w:rFonts w:ascii="Times New Roman" w:hAnsi="Times New Roman"/>
          <w:b/>
          <w:noProof/>
          <w:sz w:val="22"/>
          <w:szCs w:val="22"/>
          <w:lang w:val="pl-PL"/>
        </w:rPr>
        <w:t>POZIV ZA TESTIRANJE BITI ĆE OBJAVLJEN, NAJMANJE 5 DANA PRIJE TESTIRANJA NA WEB-STRANICI I OGLASNOJ PLOČI KOPRIVNIČKO-KRIŽEVAČKE ŽUPANIJE.</w:t>
      </w:r>
    </w:p>
    <w:p w:rsidR="00357D66" w:rsidRPr="00E5318C" w:rsidRDefault="00357D66" w:rsidP="004F6D7F">
      <w:pPr>
        <w:pStyle w:val="T-98-2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4F6D7F" w:rsidRPr="00E5318C" w:rsidRDefault="004F6D7F" w:rsidP="004F6D7F">
      <w:pPr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  <w:lang w:val="pl-PL"/>
        </w:rPr>
        <w:t>PRAVILA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I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POSTUPAK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633710" w:rsidRPr="00E5318C" w:rsidRDefault="00633710" w:rsidP="004F6D7F">
      <w:pPr>
        <w:jc w:val="both"/>
        <w:rPr>
          <w:b/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  <w:lang w:val="pl-PL"/>
        </w:rPr>
        <w:t>Po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dolasku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na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provjeru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znanja i sposobnosti</w:t>
      </w:r>
      <w:r w:rsidRPr="00E5318C">
        <w:rPr>
          <w:sz w:val="22"/>
          <w:szCs w:val="22"/>
        </w:rPr>
        <w:t xml:space="preserve">, </w:t>
      </w:r>
      <w:r w:rsidRPr="00E5318C">
        <w:rPr>
          <w:sz w:val="22"/>
          <w:szCs w:val="22"/>
          <w:lang w:val="pl-PL"/>
        </w:rPr>
        <w:t>od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kandidata</w:t>
      </w:r>
      <w:r w:rsidRPr="00E5318C">
        <w:rPr>
          <w:sz w:val="22"/>
          <w:szCs w:val="22"/>
        </w:rPr>
        <w:t xml:space="preserve"> ć</w:t>
      </w:r>
      <w:r w:rsidRPr="00E5318C">
        <w:rPr>
          <w:sz w:val="22"/>
          <w:szCs w:val="22"/>
          <w:lang w:val="pl-PL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biti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zatra</w:t>
      </w:r>
      <w:r w:rsidRPr="00E5318C">
        <w:rPr>
          <w:sz w:val="22"/>
          <w:szCs w:val="22"/>
        </w:rPr>
        <w:t>ž</w:t>
      </w:r>
      <w:r w:rsidRPr="00E5318C">
        <w:rPr>
          <w:sz w:val="22"/>
          <w:szCs w:val="22"/>
          <w:lang w:val="pl-PL"/>
        </w:rPr>
        <w:t>eno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predo</w:t>
      </w:r>
      <w:r w:rsidRPr="00E5318C">
        <w:rPr>
          <w:sz w:val="22"/>
          <w:szCs w:val="22"/>
        </w:rPr>
        <w:t>č</w:t>
      </w:r>
      <w:r w:rsidRPr="00E5318C">
        <w:rPr>
          <w:sz w:val="22"/>
          <w:szCs w:val="22"/>
          <w:lang w:val="pl-PL"/>
        </w:rPr>
        <w:t>avanje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odgovaraju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pl-PL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identifikacijske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isprave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radi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utvr</w:t>
      </w:r>
      <w:r w:rsidRPr="00E5318C">
        <w:rPr>
          <w:sz w:val="22"/>
          <w:szCs w:val="22"/>
        </w:rPr>
        <w:t>đ</w:t>
      </w:r>
      <w:r w:rsidRPr="00E5318C">
        <w:rPr>
          <w:sz w:val="22"/>
          <w:szCs w:val="22"/>
          <w:lang w:val="pl-PL"/>
        </w:rPr>
        <w:t>ivanja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identiteta</w:t>
      </w:r>
      <w:r w:rsidRPr="00E5318C">
        <w:rPr>
          <w:sz w:val="22"/>
          <w:szCs w:val="22"/>
        </w:rPr>
        <w:t xml:space="preserve">. </w:t>
      </w:r>
      <w:proofErr w:type="spellStart"/>
      <w:r w:rsidRPr="00E5318C">
        <w:rPr>
          <w:sz w:val="22"/>
          <w:szCs w:val="22"/>
          <w:lang w:val="it-IT"/>
        </w:rPr>
        <w:t>Kandidati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koji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mogu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dokazati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identitet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ne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mo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i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pristupiti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testiranju</w:t>
      </w:r>
      <w:proofErr w:type="spellEnd"/>
      <w:r w:rsidRPr="00E5318C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E5318C" w:rsidRDefault="004F6D7F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Po utvrđivanju identiteta, kandidatima će biti podijeljena pitanja za provjeru znanja.</w:t>
      </w: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b/>
          <w:sz w:val="22"/>
          <w:szCs w:val="22"/>
        </w:rPr>
        <w:t>Navedena pismena provjera znanja traje 60 minuta (stručni dio)</w:t>
      </w:r>
      <w:r w:rsidR="0047633C" w:rsidRPr="00E5318C">
        <w:rPr>
          <w:b/>
          <w:sz w:val="22"/>
          <w:szCs w:val="22"/>
        </w:rPr>
        <w:t>, a</w:t>
      </w:r>
      <w:r w:rsidRPr="00E5318C">
        <w:rPr>
          <w:b/>
          <w:sz w:val="22"/>
          <w:szCs w:val="22"/>
        </w:rPr>
        <w:t xml:space="preserve"> nakon provjere</w:t>
      </w:r>
      <w:r w:rsidR="00BF2C5D">
        <w:rPr>
          <w:b/>
          <w:sz w:val="22"/>
          <w:szCs w:val="22"/>
        </w:rPr>
        <w:t xml:space="preserve"> stručnog</w:t>
      </w:r>
      <w:r w:rsidRPr="00E5318C">
        <w:rPr>
          <w:b/>
          <w:sz w:val="22"/>
          <w:szCs w:val="22"/>
        </w:rPr>
        <w:t xml:space="preserve"> znanja, </w:t>
      </w:r>
      <w:r w:rsidR="0047633C" w:rsidRPr="00E5318C">
        <w:rPr>
          <w:b/>
          <w:sz w:val="22"/>
          <w:szCs w:val="22"/>
        </w:rPr>
        <w:t xml:space="preserve">održati </w:t>
      </w:r>
      <w:r w:rsidRPr="00E5318C">
        <w:rPr>
          <w:b/>
          <w:sz w:val="22"/>
          <w:szCs w:val="22"/>
        </w:rPr>
        <w:t xml:space="preserve">će </w:t>
      </w:r>
      <w:r w:rsidR="0047633C" w:rsidRPr="00E5318C">
        <w:rPr>
          <w:b/>
          <w:sz w:val="22"/>
          <w:szCs w:val="22"/>
        </w:rPr>
        <w:t xml:space="preserve">se </w:t>
      </w:r>
      <w:r w:rsidRPr="00E5318C">
        <w:rPr>
          <w:b/>
          <w:sz w:val="22"/>
          <w:szCs w:val="22"/>
        </w:rPr>
        <w:t>provjer</w:t>
      </w:r>
      <w:r w:rsidR="0047633C" w:rsidRPr="00E5318C">
        <w:rPr>
          <w:b/>
          <w:sz w:val="22"/>
          <w:szCs w:val="22"/>
        </w:rPr>
        <w:t>a</w:t>
      </w:r>
      <w:r w:rsidRPr="00E5318C">
        <w:rPr>
          <w:b/>
          <w:sz w:val="22"/>
          <w:szCs w:val="22"/>
        </w:rPr>
        <w:t xml:space="preserve"> sposobnosti</w:t>
      </w:r>
      <w:r w:rsidR="004478D5">
        <w:rPr>
          <w:b/>
          <w:sz w:val="22"/>
          <w:szCs w:val="22"/>
        </w:rPr>
        <w:t xml:space="preserve"> </w:t>
      </w:r>
      <w:r w:rsidR="004478D5" w:rsidRPr="004478D5">
        <w:rPr>
          <w:b/>
          <w:sz w:val="22"/>
          <w:szCs w:val="22"/>
        </w:rPr>
        <w:t>– znanje rada na računalu i znanje engleskog jezika  svaka provjera u daljnjem trajanju od 60 minuta</w:t>
      </w:r>
      <w:r w:rsidR="008662BD" w:rsidRPr="00E5318C">
        <w:rPr>
          <w:b/>
          <w:sz w:val="22"/>
          <w:szCs w:val="22"/>
        </w:rPr>
        <w:t>.</w:t>
      </w:r>
      <w:r w:rsidRPr="00E5318C">
        <w:rPr>
          <w:b/>
          <w:sz w:val="22"/>
          <w:szCs w:val="22"/>
        </w:rPr>
        <w:t xml:space="preserve"> </w:t>
      </w:r>
    </w:p>
    <w:p w:rsidR="00E5318C" w:rsidRDefault="00E5318C" w:rsidP="004F6D7F">
      <w:pPr>
        <w:jc w:val="both"/>
        <w:rPr>
          <w:sz w:val="22"/>
          <w:szCs w:val="22"/>
        </w:rPr>
      </w:pPr>
    </w:p>
    <w:p w:rsidR="00BF2C5D" w:rsidRDefault="00BF2C5D" w:rsidP="00BF2C5D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BF2C5D" w:rsidRDefault="00BF2C5D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Kandidati su dužni pridržavati </w:t>
      </w:r>
      <w:r w:rsidR="00592D1C" w:rsidRPr="00E5318C">
        <w:rPr>
          <w:sz w:val="22"/>
          <w:szCs w:val="22"/>
        </w:rPr>
        <w:t xml:space="preserve">se </w:t>
      </w:r>
      <w:r w:rsidRPr="00E5318C">
        <w:rPr>
          <w:sz w:val="22"/>
          <w:szCs w:val="22"/>
        </w:rPr>
        <w:t>utvrđenog vremena i rasporeda postupka.</w:t>
      </w:r>
    </w:p>
    <w:p w:rsidR="00E5318C" w:rsidRDefault="00E5318C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b/>
          <w:sz w:val="22"/>
          <w:szCs w:val="22"/>
          <w:u w:val="single"/>
        </w:rPr>
      </w:pPr>
      <w:r w:rsidRPr="00E5318C">
        <w:rPr>
          <w:sz w:val="22"/>
          <w:szCs w:val="22"/>
        </w:rPr>
        <w:t xml:space="preserve">Za vrijeme provjere znanja i sposobnosti </w:t>
      </w:r>
      <w:r w:rsidRPr="00E5318C">
        <w:rPr>
          <w:b/>
          <w:sz w:val="22"/>
          <w:szCs w:val="22"/>
          <w:u w:val="single"/>
        </w:rPr>
        <w:t>nije dopušteno:</w:t>
      </w:r>
    </w:p>
    <w:p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  <w:lang w:val="it-IT"/>
        </w:rPr>
      </w:pPr>
      <w:r w:rsidRPr="00E5318C">
        <w:rPr>
          <w:sz w:val="22"/>
          <w:szCs w:val="22"/>
        </w:rPr>
        <w:t>koristiti se bilo kakvom literaturom odnosno bilješkama</w:t>
      </w:r>
      <w:r w:rsidRPr="00E5318C">
        <w:rPr>
          <w:sz w:val="22"/>
          <w:szCs w:val="22"/>
          <w:lang w:val="it-IT"/>
        </w:rPr>
        <w:t>;</w:t>
      </w:r>
    </w:p>
    <w:p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>koristiti mobitel ili druga komunikacijska sredstva;</w:t>
      </w:r>
    </w:p>
    <w:p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</w:rPr>
      </w:pPr>
      <w:r w:rsidRPr="00E5318C">
        <w:rPr>
          <w:sz w:val="22"/>
          <w:szCs w:val="22"/>
        </w:rPr>
        <w:t>napuštati prostoriju u kojoj se provjera odvija;</w:t>
      </w:r>
    </w:p>
    <w:p w:rsidR="004F6D7F" w:rsidRPr="00E5318C" w:rsidRDefault="004F6D7F" w:rsidP="00C64127">
      <w:pPr>
        <w:numPr>
          <w:ilvl w:val="0"/>
          <w:numId w:val="2"/>
        </w:numPr>
        <w:tabs>
          <w:tab w:val="clear" w:pos="1065"/>
        </w:tabs>
        <w:ind w:left="567" w:hanging="425"/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</w:rPr>
        <w:t xml:space="preserve">razgovarati s ostalim kandidatima, </w:t>
      </w:r>
      <w:r w:rsidRPr="00E5318C">
        <w:rPr>
          <w:sz w:val="22"/>
          <w:szCs w:val="22"/>
          <w:lang w:val="pl-PL"/>
        </w:rPr>
        <w:t>niti na bilo koji drugi način remetiti koncentraciju kandidata.</w:t>
      </w:r>
    </w:p>
    <w:p w:rsidR="004F6D7F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E5318C" w:rsidRDefault="004F6D7F" w:rsidP="004F6D7F">
      <w:pPr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E5318C" w:rsidRDefault="004F6D7F" w:rsidP="00411779">
      <w:pPr>
        <w:pStyle w:val="Tijeloteksta3"/>
      </w:pPr>
      <w:r w:rsidRPr="00E5318C">
        <w:t>Za svaki dio provjere znanja i sposobnosti dodjeljuje se od 1 do 10 bodova.  Intervju se provodi samo s kandidatima koji su ostvarili najmanje 50% bodova iz provjere znanja</w:t>
      </w:r>
      <w:r w:rsidR="00411779" w:rsidRPr="00E5318C">
        <w:t xml:space="preserve"> i sposobnosti</w:t>
      </w:r>
      <w:r w:rsidRPr="00E5318C">
        <w:t xml:space="preserve"> na provedenom testiranju.</w:t>
      </w:r>
    </w:p>
    <w:p w:rsidR="00411779" w:rsidRPr="00E5318C" w:rsidRDefault="00411779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Pr="00E5318C" w:rsidRDefault="00404E56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7743F" w:rsidRPr="00E5318C" w:rsidRDefault="0047743F" w:rsidP="004F6D7F">
      <w:pPr>
        <w:jc w:val="both"/>
        <w:rPr>
          <w:sz w:val="22"/>
          <w:szCs w:val="22"/>
        </w:rPr>
      </w:pPr>
    </w:p>
    <w:p w:rsidR="0047743F" w:rsidRPr="00E5318C" w:rsidRDefault="0047743F" w:rsidP="0047743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Povjerenstvo dostavlja Izvješće o provedenom postupku </w:t>
      </w:r>
      <w:r w:rsidR="00592D1C">
        <w:rPr>
          <w:sz w:val="22"/>
          <w:szCs w:val="22"/>
        </w:rPr>
        <w:t>pročelniku</w:t>
      </w:r>
      <w:r w:rsidRPr="00E5318C">
        <w:rPr>
          <w:sz w:val="22"/>
          <w:szCs w:val="22"/>
        </w:rPr>
        <w:t xml:space="preserve">, Izvješće potpisuju svi članovi Povjerenstva. </w:t>
      </w:r>
    </w:p>
    <w:p w:rsidR="0047743F" w:rsidRPr="00E5318C" w:rsidRDefault="0047743F" w:rsidP="0047743F">
      <w:pPr>
        <w:jc w:val="both"/>
        <w:rPr>
          <w:sz w:val="22"/>
          <w:szCs w:val="22"/>
        </w:rPr>
      </w:pPr>
    </w:p>
    <w:p w:rsidR="0047743F" w:rsidRPr="00E5318C" w:rsidRDefault="00592D1C" w:rsidP="0047743F">
      <w:pPr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47743F" w:rsidRPr="00E5318C">
        <w:rPr>
          <w:sz w:val="22"/>
          <w:szCs w:val="22"/>
        </w:rPr>
        <w:t xml:space="preserve"> donosi rješenje o </w:t>
      </w:r>
      <w:r>
        <w:rPr>
          <w:sz w:val="22"/>
          <w:szCs w:val="22"/>
        </w:rPr>
        <w:t>prijmu u službu</w:t>
      </w:r>
      <w:r w:rsidR="0047743F" w:rsidRPr="00E5318C">
        <w:rPr>
          <w:sz w:val="22"/>
          <w:szCs w:val="22"/>
        </w:rPr>
        <w:t xml:space="preserve">, koje će biti dostavljeno svim kandidatima prijavljenim na javni natječaj, a koji su ispunili formalne uvjete natječaja. </w:t>
      </w:r>
    </w:p>
    <w:p w:rsidR="0047743F" w:rsidRPr="00E5318C" w:rsidRDefault="0047743F" w:rsidP="0047743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Izabrani kandidat mora dostaviti uvjerenje o zdravstvenoj sposobnosti prije donošenja rješenja o </w:t>
      </w:r>
      <w:r w:rsidR="00592D1C">
        <w:rPr>
          <w:sz w:val="22"/>
          <w:szCs w:val="22"/>
        </w:rPr>
        <w:t>prijmu u službu.</w:t>
      </w:r>
    </w:p>
    <w:p w:rsidR="0047743F" w:rsidRPr="00E5318C" w:rsidRDefault="0047743F" w:rsidP="0047743F">
      <w:pPr>
        <w:jc w:val="both"/>
        <w:rPr>
          <w:sz w:val="22"/>
          <w:szCs w:val="22"/>
        </w:rPr>
      </w:pPr>
    </w:p>
    <w:p w:rsidR="00592D1C" w:rsidRPr="00592D1C" w:rsidRDefault="00592D1C" w:rsidP="00592D1C">
      <w:pPr>
        <w:jc w:val="both"/>
        <w:rPr>
          <w:sz w:val="22"/>
          <w:szCs w:val="22"/>
          <w:lang w:val="it-IT"/>
        </w:rPr>
      </w:pPr>
      <w:r w:rsidRPr="00592D1C">
        <w:rPr>
          <w:sz w:val="22"/>
          <w:szCs w:val="22"/>
          <w:lang w:val="it-IT"/>
        </w:rPr>
        <w:t xml:space="preserve">Za </w:t>
      </w:r>
      <w:proofErr w:type="spellStart"/>
      <w:r w:rsidRPr="00592D1C">
        <w:rPr>
          <w:sz w:val="22"/>
          <w:szCs w:val="22"/>
          <w:lang w:val="it-IT"/>
        </w:rPr>
        <w:t>kandidata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koji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dostavi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prijavu</w:t>
      </w:r>
      <w:proofErr w:type="spellEnd"/>
      <w:r w:rsidRPr="00592D1C">
        <w:rPr>
          <w:sz w:val="22"/>
          <w:szCs w:val="22"/>
          <w:lang w:val="it-IT"/>
        </w:rPr>
        <w:t xml:space="preserve"> s </w:t>
      </w:r>
      <w:proofErr w:type="spellStart"/>
      <w:r w:rsidRPr="00592D1C">
        <w:rPr>
          <w:sz w:val="22"/>
          <w:szCs w:val="22"/>
          <w:lang w:val="it-IT"/>
        </w:rPr>
        <w:t>traženim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dokazima</w:t>
      </w:r>
      <w:proofErr w:type="spellEnd"/>
      <w:r w:rsidRPr="00592D1C">
        <w:rPr>
          <w:sz w:val="22"/>
          <w:szCs w:val="22"/>
          <w:lang w:val="it-IT"/>
        </w:rPr>
        <w:t xml:space="preserve"> u </w:t>
      </w:r>
      <w:proofErr w:type="spellStart"/>
      <w:r w:rsidRPr="00592D1C">
        <w:rPr>
          <w:sz w:val="22"/>
          <w:szCs w:val="22"/>
          <w:lang w:val="it-IT"/>
        </w:rPr>
        <w:t>kojima</w:t>
      </w:r>
      <w:proofErr w:type="spellEnd"/>
      <w:r w:rsidRPr="00592D1C">
        <w:rPr>
          <w:sz w:val="22"/>
          <w:szCs w:val="22"/>
          <w:lang w:val="it-IT"/>
        </w:rPr>
        <w:t xml:space="preserve"> se </w:t>
      </w:r>
      <w:proofErr w:type="spellStart"/>
      <w:r w:rsidRPr="00592D1C">
        <w:rPr>
          <w:sz w:val="22"/>
          <w:szCs w:val="22"/>
          <w:lang w:val="it-IT"/>
        </w:rPr>
        <w:t>nalaze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osobni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podaci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smatra</w:t>
      </w:r>
      <w:proofErr w:type="spellEnd"/>
      <w:r w:rsidRPr="00592D1C">
        <w:rPr>
          <w:sz w:val="22"/>
          <w:szCs w:val="22"/>
          <w:lang w:val="it-IT"/>
        </w:rPr>
        <w:t xml:space="preserve"> se da je </w:t>
      </w:r>
      <w:proofErr w:type="spellStart"/>
      <w:r w:rsidRPr="00592D1C">
        <w:rPr>
          <w:sz w:val="22"/>
          <w:szCs w:val="22"/>
          <w:lang w:val="it-IT"/>
        </w:rPr>
        <w:t>dobrovoljno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pristao</w:t>
      </w:r>
      <w:proofErr w:type="spellEnd"/>
      <w:r w:rsidRPr="00592D1C">
        <w:rPr>
          <w:sz w:val="22"/>
          <w:szCs w:val="22"/>
          <w:lang w:val="it-IT"/>
        </w:rPr>
        <w:t xml:space="preserve"> da se </w:t>
      </w:r>
      <w:proofErr w:type="spellStart"/>
      <w:r w:rsidRPr="00592D1C">
        <w:rPr>
          <w:sz w:val="22"/>
          <w:szCs w:val="22"/>
          <w:lang w:val="it-IT"/>
        </w:rPr>
        <w:t>osobni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podaci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koriste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gramStart"/>
      <w:r w:rsidRPr="00592D1C">
        <w:rPr>
          <w:sz w:val="22"/>
          <w:szCs w:val="22"/>
          <w:lang w:val="it-IT"/>
        </w:rPr>
        <w:t>i</w:t>
      </w:r>
      <w:proofErr w:type="gram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obrađuju</w:t>
      </w:r>
      <w:proofErr w:type="spellEnd"/>
      <w:r w:rsidRPr="00592D1C">
        <w:rPr>
          <w:sz w:val="22"/>
          <w:szCs w:val="22"/>
          <w:lang w:val="it-IT"/>
        </w:rPr>
        <w:t xml:space="preserve"> u </w:t>
      </w:r>
      <w:proofErr w:type="spellStart"/>
      <w:r w:rsidRPr="00592D1C">
        <w:rPr>
          <w:sz w:val="22"/>
          <w:szCs w:val="22"/>
          <w:lang w:val="it-IT"/>
        </w:rPr>
        <w:t>postupku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javnog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natječaja</w:t>
      </w:r>
      <w:proofErr w:type="spellEnd"/>
      <w:r w:rsidRPr="00592D1C">
        <w:rPr>
          <w:sz w:val="22"/>
          <w:szCs w:val="22"/>
          <w:lang w:val="it-IT"/>
        </w:rPr>
        <w:t>.</w:t>
      </w:r>
    </w:p>
    <w:p w:rsidR="00592D1C" w:rsidRDefault="00592D1C" w:rsidP="00592D1C">
      <w:pPr>
        <w:jc w:val="both"/>
        <w:rPr>
          <w:sz w:val="22"/>
          <w:szCs w:val="22"/>
          <w:lang w:val="it-IT"/>
        </w:rPr>
      </w:pPr>
    </w:p>
    <w:p w:rsidR="00592D1C" w:rsidRPr="00592D1C" w:rsidRDefault="00592D1C" w:rsidP="00592D1C">
      <w:pPr>
        <w:jc w:val="both"/>
        <w:rPr>
          <w:sz w:val="22"/>
          <w:szCs w:val="22"/>
          <w:lang w:val="it-IT"/>
        </w:rPr>
      </w:pPr>
      <w:proofErr w:type="spellStart"/>
      <w:r w:rsidRPr="00592D1C">
        <w:rPr>
          <w:sz w:val="22"/>
          <w:szCs w:val="22"/>
          <w:lang w:val="it-IT"/>
        </w:rPr>
        <w:t>Koprivničko-križevačka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županija</w:t>
      </w:r>
      <w:proofErr w:type="spellEnd"/>
      <w:r w:rsidRPr="00592D1C">
        <w:rPr>
          <w:sz w:val="22"/>
          <w:szCs w:val="22"/>
          <w:lang w:val="it-IT"/>
        </w:rPr>
        <w:t xml:space="preserve"> se </w:t>
      </w:r>
      <w:proofErr w:type="spellStart"/>
      <w:r w:rsidRPr="00592D1C">
        <w:rPr>
          <w:sz w:val="22"/>
          <w:szCs w:val="22"/>
          <w:lang w:val="it-IT"/>
        </w:rPr>
        <w:t>obvezuje</w:t>
      </w:r>
      <w:proofErr w:type="spellEnd"/>
      <w:r w:rsidRPr="00592D1C">
        <w:rPr>
          <w:sz w:val="22"/>
          <w:szCs w:val="22"/>
          <w:lang w:val="it-IT"/>
        </w:rPr>
        <w:t xml:space="preserve"> da </w:t>
      </w:r>
      <w:proofErr w:type="spellStart"/>
      <w:r w:rsidRPr="00592D1C">
        <w:rPr>
          <w:sz w:val="22"/>
          <w:szCs w:val="22"/>
          <w:lang w:val="it-IT"/>
        </w:rPr>
        <w:t>će</w:t>
      </w:r>
      <w:proofErr w:type="spellEnd"/>
      <w:r w:rsidRPr="00592D1C">
        <w:rPr>
          <w:sz w:val="22"/>
          <w:szCs w:val="22"/>
          <w:lang w:val="it-IT"/>
        </w:rPr>
        <w:t xml:space="preserve"> s </w:t>
      </w:r>
      <w:proofErr w:type="spellStart"/>
      <w:r w:rsidRPr="00592D1C">
        <w:rPr>
          <w:sz w:val="22"/>
          <w:szCs w:val="22"/>
          <w:lang w:val="it-IT"/>
        </w:rPr>
        <w:t>osobnim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podacima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postupati</w:t>
      </w:r>
      <w:proofErr w:type="spellEnd"/>
      <w:r w:rsidRPr="00592D1C">
        <w:rPr>
          <w:sz w:val="22"/>
          <w:szCs w:val="22"/>
          <w:lang w:val="it-IT"/>
        </w:rPr>
        <w:t xml:space="preserve"> u </w:t>
      </w:r>
      <w:proofErr w:type="spellStart"/>
      <w:r w:rsidRPr="00592D1C">
        <w:rPr>
          <w:sz w:val="22"/>
          <w:szCs w:val="22"/>
          <w:lang w:val="it-IT"/>
        </w:rPr>
        <w:t>skladu</w:t>
      </w:r>
      <w:proofErr w:type="spellEnd"/>
      <w:r w:rsidRPr="00592D1C">
        <w:rPr>
          <w:sz w:val="22"/>
          <w:szCs w:val="22"/>
          <w:lang w:val="it-IT"/>
        </w:rPr>
        <w:t xml:space="preserve"> s </w:t>
      </w:r>
      <w:proofErr w:type="spellStart"/>
      <w:r w:rsidRPr="00592D1C">
        <w:rPr>
          <w:sz w:val="22"/>
          <w:szCs w:val="22"/>
          <w:lang w:val="it-IT"/>
        </w:rPr>
        <w:t>Politikom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zaštite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privatnosti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osobnih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podataka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koja</w:t>
      </w:r>
      <w:proofErr w:type="spellEnd"/>
      <w:r w:rsidRPr="00592D1C">
        <w:rPr>
          <w:sz w:val="22"/>
          <w:szCs w:val="22"/>
          <w:lang w:val="it-IT"/>
        </w:rPr>
        <w:t xml:space="preserve"> je </w:t>
      </w:r>
      <w:proofErr w:type="spellStart"/>
      <w:r w:rsidRPr="00592D1C">
        <w:rPr>
          <w:sz w:val="22"/>
          <w:szCs w:val="22"/>
          <w:lang w:val="it-IT"/>
        </w:rPr>
        <w:t>objavljena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na</w:t>
      </w:r>
      <w:proofErr w:type="spellEnd"/>
      <w:r w:rsidRPr="00592D1C">
        <w:rPr>
          <w:sz w:val="22"/>
          <w:szCs w:val="22"/>
          <w:lang w:val="it-IT"/>
        </w:rPr>
        <w:t xml:space="preserve"> web </w:t>
      </w:r>
      <w:proofErr w:type="spellStart"/>
      <w:r w:rsidRPr="00592D1C">
        <w:rPr>
          <w:sz w:val="22"/>
          <w:szCs w:val="22"/>
          <w:lang w:val="it-IT"/>
        </w:rPr>
        <w:t>stranici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Koprivničko-križevačke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županije</w:t>
      </w:r>
      <w:proofErr w:type="spellEnd"/>
      <w:r w:rsidRPr="00592D1C">
        <w:rPr>
          <w:sz w:val="22"/>
          <w:szCs w:val="22"/>
          <w:lang w:val="it-IT"/>
        </w:rPr>
        <w:t xml:space="preserve">, https://kckzz.hr/uprava/politika-zastite-privatnosti-osobnih-podataka/, </w:t>
      </w:r>
      <w:proofErr w:type="spellStart"/>
      <w:r w:rsidRPr="00592D1C">
        <w:rPr>
          <w:sz w:val="22"/>
          <w:szCs w:val="22"/>
          <w:lang w:val="it-IT"/>
        </w:rPr>
        <w:t>uz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primjenu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odgovarajućih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organizacijskih</w:t>
      </w:r>
      <w:proofErr w:type="spellEnd"/>
      <w:r w:rsidRPr="00592D1C">
        <w:rPr>
          <w:sz w:val="22"/>
          <w:szCs w:val="22"/>
          <w:lang w:val="it-IT"/>
        </w:rPr>
        <w:t xml:space="preserve"> i </w:t>
      </w:r>
      <w:proofErr w:type="spellStart"/>
      <w:r w:rsidRPr="00592D1C">
        <w:rPr>
          <w:sz w:val="22"/>
          <w:szCs w:val="22"/>
          <w:lang w:val="it-IT"/>
        </w:rPr>
        <w:t>tehničkih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mjera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zaštite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osobnih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podataka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gramStart"/>
      <w:r w:rsidRPr="00592D1C">
        <w:rPr>
          <w:sz w:val="22"/>
          <w:szCs w:val="22"/>
          <w:lang w:val="it-IT"/>
        </w:rPr>
        <w:t>od</w:t>
      </w:r>
      <w:proofErr w:type="gram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neovlaštenog</w:t>
      </w:r>
      <w:proofErr w:type="spellEnd"/>
      <w:r w:rsidRPr="00592D1C">
        <w:rPr>
          <w:sz w:val="22"/>
          <w:szCs w:val="22"/>
          <w:lang w:val="it-IT"/>
        </w:rPr>
        <w:t xml:space="preserve"> </w:t>
      </w:r>
      <w:proofErr w:type="spellStart"/>
      <w:r w:rsidRPr="00592D1C">
        <w:rPr>
          <w:sz w:val="22"/>
          <w:szCs w:val="22"/>
          <w:lang w:val="it-IT"/>
        </w:rPr>
        <w:t>pristupa</w:t>
      </w:r>
      <w:proofErr w:type="spellEnd"/>
      <w:r w:rsidRPr="00592D1C">
        <w:rPr>
          <w:sz w:val="22"/>
          <w:szCs w:val="22"/>
          <w:lang w:val="it-IT"/>
        </w:rPr>
        <w:t xml:space="preserve">, </w:t>
      </w:r>
      <w:proofErr w:type="spellStart"/>
      <w:r w:rsidRPr="00592D1C">
        <w:rPr>
          <w:sz w:val="22"/>
          <w:szCs w:val="22"/>
          <w:lang w:val="it-IT"/>
        </w:rPr>
        <w:t>zlouporabe</w:t>
      </w:r>
      <w:proofErr w:type="spellEnd"/>
      <w:r w:rsidRPr="00592D1C">
        <w:rPr>
          <w:sz w:val="22"/>
          <w:szCs w:val="22"/>
          <w:lang w:val="it-IT"/>
        </w:rPr>
        <w:t xml:space="preserve">, </w:t>
      </w:r>
      <w:proofErr w:type="spellStart"/>
      <w:r w:rsidRPr="00592D1C">
        <w:rPr>
          <w:sz w:val="22"/>
          <w:szCs w:val="22"/>
          <w:lang w:val="it-IT"/>
        </w:rPr>
        <w:t>otkrivanja</w:t>
      </w:r>
      <w:proofErr w:type="spellEnd"/>
      <w:r w:rsidRPr="00592D1C">
        <w:rPr>
          <w:sz w:val="22"/>
          <w:szCs w:val="22"/>
          <w:lang w:val="it-IT"/>
        </w:rPr>
        <w:t xml:space="preserve">, </w:t>
      </w:r>
      <w:proofErr w:type="spellStart"/>
      <w:r w:rsidRPr="00592D1C">
        <w:rPr>
          <w:sz w:val="22"/>
          <w:szCs w:val="22"/>
          <w:lang w:val="it-IT"/>
        </w:rPr>
        <w:t>gubitka</w:t>
      </w:r>
      <w:proofErr w:type="spellEnd"/>
      <w:r w:rsidRPr="00592D1C">
        <w:rPr>
          <w:sz w:val="22"/>
          <w:szCs w:val="22"/>
          <w:lang w:val="it-IT"/>
        </w:rPr>
        <w:t xml:space="preserve"> ili </w:t>
      </w:r>
      <w:proofErr w:type="spellStart"/>
      <w:r w:rsidRPr="00592D1C">
        <w:rPr>
          <w:sz w:val="22"/>
          <w:szCs w:val="22"/>
          <w:lang w:val="it-IT"/>
        </w:rPr>
        <w:t>uništenja</w:t>
      </w:r>
      <w:proofErr w:type="spellEnd"/>
      <w:r w:rsidRPr="00592D1C">
        <w:rPr>
          <w:sz w:val="22"/>
          <w:szCs w:val="22"/>
          <w:lang w:val="it-IT"/>
        </w:rPr>
        <w:t>.</w:t>
      </w:r>
    </w:p>
    <w:p w:rsidR="00592D1C" w:rsidRDefault="00592D1C" w:rsidP="00592D1C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C64127" w:rsidRDefault="00C64127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592D1C" w:rsidRDefault="00592D1C" w:rsidP="0044504D">
      <w:pPr>
        <w:jc w:val="center"/>
        <w:rPr>
          <w:sz w:val="22"/>
          <w:szCs w:val="22"/>
          <w:lang w:val="it-IT"/>
        </w:rPr>
      </w:pPr>
    </w:p>
    <w:p w:rsidR="0044504D" w:rsidRPr="00E5318C" w:rsidRDefault="0044504D" w:rsidP="0044504D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</w:p>
    <w:p w:rsidR="004F6D7F" w:rsidRPr="00E5318C" w:rsidRDefault="004F6D7F" w:rsidP="004F6D7F">
      <w:pPr>
        <w:pStyle w:val="Tijeloteksta"/>
        <w:ind w:firstLine="708"/>
        <w:rPr>
          <w:rFonts w:ascii="Times New Roman" w:hAnsi="Times New Roman"/>
          <w:b/>
          <w:sz w:val="22"/>
          <w:szCs w:val="22"/>
        </w:rPr>
      </w:pPr>
    </w:p>
    <w:sectPr w:rsidR="004F6D7F" w:rsidRPr="00E5318C" w:rsidSect="004C736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2C2"/>
    <w:multiLevelType w:val="hybridMultilevel"/>
    <w:tmpl w:val="4686E364"/>
    <w:lvl w:ilvl="0" w:tplc="25C8AD5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8360B6E"/>
    <w:multiLevelType w:val="hybridMultilevel"/>
    <w:tmpl w:val="18303B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2345" w:hanging="360"/>
      </w:p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876F50"/>
    <w:multiLevelType w:val="hybridMultilevel"/>
    <w:tmpl w:val="2CE4A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720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F"/>
    <w:rsid w:val="00022AF2"/>
    <w:rsid w:val="00026931"/>
    <w:rsid w:val="00071A49"/>
    <w:rsid w:val="00072846"/>
    <w:rsid w:val="00073BE4"/>
    <w:rsid w:val="000A1B55"/>
    <w:rsid w:val="000C0B17"/>
    <w:rsid w:val="000C22B6"/>
    <w:rsid w:val="000D780F"/>
    <w:rsid w:val="00121990"/>
    <w:rsid w:val="00122366"/>
    <w:rsid w:val="001344FB"/>
    <w:rsid w:val="001522F8"/>
    <w:rsid w:val="00162667"/>
    <w:rsid w:val="00170BE7"/>
    <w:rsid w:val="00173FDA"/>
    <w:rsid w:val="001B66B5"/>
    <w:rsid w:val="001D03F8"/>
    <w:rsid w:val="001D5BA7"/>
    <w:rsid w:val="001E15F8"/>
    <w:rsid w:val="001F0EDF"/>
    <w:rsid w:val="00201590"/>
    <w:rsid w:val="00210008"/>
    <w:rsid w:val="0021084C"/>
    <w:rsid w:val="0022445A"/>
    <w:rsid w:val="002712BA"/>
    <w:rsid w:val="002C085F"/>
    <w:rsid w:val="002C3FFE"/>
    <w:rsid w:val="002D010F"/>
    <w:rsid w:val="002E4960"/>
    <w:rsid w:val="003048B4"/>
    <w:rsid w:val="0030757C"/>
    <w:rsid w:val="00310017"/>
    <w:rsid w:val="00331EEB"/>
    <w:rsid w:val="00332F7E"/>
    <w:rsid w:val="00345C89"/>
    <w:rsid w:val="00357D66"/>
    <w:rsid w:val="00385601"/>
    <w:rsid w:val="003A2D36"/>
    <w:rsid w:val="003A737C"/>
    <w:rsid w:val="003F06DF"/>
    <w:rsid w:val="003F0B45"/>
    <w:rsid w:val="003F5BE8"/>
    <w:rsid w:val="00404E56"/>
    <w:rsid w:val="00407E39"/>
    <w:rsid w:val="00411779"/>
    <w:rsid w:val="0044504D"/>
    <w:rsid w:val="004478D5"/>
    <w:rsid w:val="00452BDB"/>
    <w:rsid w:val="0047633C"/>
    <w:rsid w:val="0047743F"/>
    <w:rsid w:val="0048156B"/>
    <w:rsid w:val="0048365F"/>
    <w:rsid w:val="004B120B"/>
    <w:rsid w:val="004C736C"/>
    <w:rsid w:val="004D291F"/>
    <w:rsid w:val="004F6D7F"/>
    <w:rsid w:val="00505D8A"/>
    <w:rsid w:val="00526416"/>
    <w:rsid w:val="00542E97"/>
    <w:rsid w:val="005601E7"/>
    <w:rsid w:val="005721F8"/>
    <w:rsid w:val="005914F4"/>
    <w:rsid w:val="00592D1C"/>
    <w:rsid w:val="005C548A"/>
    <w:rsid w:val="006114C4"/>
    <w:rsid w:val="00633710"/>
    <w:rsid w:val="00656EC3"/>
    <w:rsid w:val="00660029"/>
    <w:rsid w:val="00666709"/>
    <w:rsid w:val="006A0B13"/>
    <w:rsid w:val="006A3F11"/>
    <w:rsid w:val="006A4770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B4A4B"/>
    <w:rsid w:val="007D5064"/>
    <w:rsid w:val="007D7500"/>
    <w:rsid w:val="00802EEB"/>
    <w:rsid w:val="00805EE0"/>
    <w:rsid w:val="008313E0"/>
    <w:rsid w:val="008662BD"/>
    <w:rsid w:val="0087754E"/>
    <w:rsid w:val="00886069"/>
    <w:rsid w:val="00892197"/>
    <w:rsid w:val="0089448A"/>
    <w:rsid w:val="008A0A52"/>
    <w:rsid w:val="008B05C7"/>
    <w:rsid w:val="008C14A9"/>
    <w:rsid w:val="008D2615"/>
    <w:rsid w:val="008D32D2"/>
    <w:rsid w:val="008E053B"/>
    <w:rsid w:val="008E4685"/>
    <w:rsid w:val="009119E1"/>
    <w:rsid w:val="0093601A"/>
    <w:rsid w:val="00954513"/>
    <w:rsid w:val="00990C09"/>
    <w:rsid w:val="0099150C"/>
    <w:rsid w:val="009B5321"/>
    <w:rsid w:val="009F4047"/>
    <w:rsid w:val="00A039BF"/>
    <w:rsid w:val="00A06016"/>
    <w:rsid w:val="00A13C40"/>
    <w:rsid w:val="00A35EA0"/>
    <w:rsid w:val="00A518F2"/>
    <w:rsid w:val="00A53AFD"/>
    <w:rsid w:val="00A858F0"/>
    <w:rsid w:val="00A859B9"/>
    <w:rsid w:val="00AB29D2"/>
    <w:rsid w:val="00AF2015"/>
    <w:rsid w:val="00AF228D"/>
    <w:rsid w:val="00B40946"/>
    <w:rsid w:val="00B52E96"/>
    <w:rsid w:val="00B62021"/>
    <w:rsid w:val="00B74A93"/>
    <w:rsid w:val="00BA6788"/>
    <w:rsid w:val="00BF2C5D"/>
    <w:rsid w:val="00C06C43"/>
    <w:rsid w:val="00C16281"/>
    <w:rsid w:val="00C64127"/>
    <w:rsid w:val="00C73976"/>
    <w:rsid w:val="00CA0754"/>
    <w:rsid w:val="00CA4351"/>
    <w:rsid w:val="00CB1D00"/>
    <w:rsid w:val="00CB35DD"/>
    <w:rsid w:val="00CB5B71"/>
    <w:rsid w:val="00CC4E74"/>
    <w:rsid w:val="00CD69AF"/>
    <w:rsid w:val="00CF79C3"/>
    <w:rsid w:val="00CF7B3D"/>
    <w:rsid w:val="00D02083"/>
    <w:rsid w:val="00D33E8A"/>
    <w:rsid w:val="00D56320"/>
    <w:rsid w:val="00D8114A"/>
    <w:rsid w:val="00D93D8B"/>
    <w:rsid w:val="00E03DD7"/>
    <w:rsid w:val="00E47630"/>
    <w:rsid w:val="00E5318C"/>
    <w:rsid w:val="00EA3646"/>
    <w:rsid w:val="00ED7E29"/>
    <w:rsid w:val="00F10DB8"/>
    <w:rsid w:val="00F219F5"/>
    <w:rsid w:val="00F3545E"/>
    <w:rsid w:val="00F61771"/>
    <w:rsid w:val="00F877CA"/>
    <w:rsid w:val="00FC6C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A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customStyle="1" w:styleId="Naslov1Char">
    <w:name w:val="Naslov 1 Char"/>
    <w:basedOn w:val="Zadanifontodlomka"/>
    <w:link w:val="Naslov1"/>
    <w:uiPriority w:val="9"/>
    <w:rsid w:val="008A0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3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2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754E"/>
    <w:rPr>
      <w:color w:val="0000FF" w:themeColor="hyperlink"/>
      <w:u w:val="single"/>
    </w:rPr>
  </w:style>
  <w:style w:type="paragraph" w:customStyle="1" w:styleId="m-909147715870799931msolistparagraph">
    <w:name w:val="m_-909147715870799931msolistparagraph"/>
    <w:basedOn w:val="Normal"/>
    <w:rsid w:val="007B4A4B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A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customStyle="1" w:styleId="Naslov1Char">
    <w:name w:val="Naslov 1 Char"/>
    <w:basedOn w:val="Zadanifontodlomka"/>
    <w:link w:val="Naslov1"/>
    <w:uiPriority w:val="9"/>
    <w:rsid w:val="008A0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3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2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754E"/>
    <w:rPr>
      <w:color w:val="0000FF" w:themeColor="hyperlink"/>
      <w:u w:val="single"/>
    </w:rPr>
  </w:style>
  <w:style w:type="paragraph" w:customStyle="1" w:styleId="m-909147715870799931msolistparagraph">
    <w:name w:val="m_-909147715870799931msolistparagraph"/>
    <w:basedOn w:val="Normal"/>
    <w:rsid w:val="007B4A4B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kturnifondovi.hr/dokumenti/?doc_id=533&amp;fondovi=esi_fondovi" TargetMode="External"/><Relationship Id="rId13" Type="http://schemas.openxmlformats.org/officeDocument/2006/relationships/hyperlink" Target="https://strukturnifondovi.hr/wp-content/uploads/2017/02/SAFU_-_PRIRUCNIK_ZA_KORISNIKE_v_2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trukturnifondovi.hr/dokumenti/" TargetMode="External"/><Relationship Id="rId12" Type="http://schemas.openxmlformats.org/officeDocument/2006/relationships/hyperlink" Target="https://strukturnifondovi.hr/wp-content/uploads/2017/06/Upute_za_korisnike_za_web_FINAL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rukturnifondovi.hr/dokumenti/?doc_id=549&amp;fondovi=esi_fondov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trukturnifondovi.hr/wp-content/uploads/2020/06/Prilog-1_Op&#263;i-uvjeti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rukturnifondovi.hr/wp-content/uploads/2017/03/Pravilnik-o-prihvatljivosti-izdataka-ESF.pdf" TargetMode="External"/><Relationship Id="rId14" Type="http://schemas.openxmlformats.org/officeDocument/2006/relationships/hyperlink" Target="https://strukturnifondovi.hr/dokumenti/?doc_id=1636&amp;fondovi=esi_fondov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AD41D-F93D-436D-8111-EB3F604D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 M2N68</cp:lastModifiedBy>
  <cp:revision>2</cp:revision>
  <cp:lastPrinted>2021-06-15T11:14:00Z</cp:lastPrinted>
  <dcterms:created xsi:type="dcterms:W3CDTF">2021-06-25T11:01:00Z</dcterms:created>
  <dcterms:modified xsi:type="dcterms:W3CDTF">2021-06-25T11:01:00Z</dcterms:modified>
</cp:coreProperties>
</file>