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96061B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321E37">
        <w:rPr>
          <w:sz w:val="22"/>
          <w:szCs w:val="22"/>
        </w:rPr>
        <w:t>,</w:t>
      </w:r>
      <w:r w:rsidR="0096061B">
        <w:rPr>
          <w:sz w:val="22"/>
          <w:szCs w:val="22"/>
        </w:rPr>
        <w:t xml:space="preserve"> 04/18.</w:t>
      </w:r>
      <w:r w:rsidR="00321E37">
        <w:rPr>
          <w:sz w:val="22"/>
          <w:szCs w:val="22"/>
        </w:rPr>
        <w:t xml:space="preserve"> i 112/</w:t>
      </w:r>
      <w:r w:rsidR="00B77BA8">
        <w:rPr>
          <w:sz w:val="22"/>
          <w:szCs w:val="22"/>
        </w:rPr>
        <w:t>19.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>pročelni</w:t>
      </w:r>
      <w:r w:rsidR="0097173E">
        <w:rPr>
          <w:sz w:val="22"/>
          <w:szCs w:val="22"/>
        </w:rPr>
        <w:t>ca</w:t>
      </w:r>
      <w:r>
        <w:rPr>
          <w:sz w:val="22"/>
          <w:szCs w:val="22"/>
        </w:rPr>
        <w:t xml:space="preserve"> Upravnog odjela za </w:t>
      </w:r>
      <w:r w:rsidR="00196E82">
        <w:rPr>
          <w:sz w:val="22"/>
          <w:szCs w:val="22"/>
        </w:rPr>
        <w:t>poslove Županijske skupštine i pravne poslove</w:t>
      </w:r>
      <w:r>
        <w:rPr>
          <w:sz w:val="22"/>
          <w:szCs w:val="22"/>
        </w:rPr>
        <w:t xml:space="preserve"> </w:t>
      </w:r>
      <w:r w:rsidRPr="00DA192F">
        <w:rPr>
          <w:sz w:val="22"/>
          <w:szCs w:val="22"/>
        </w:rPr>
        <w:t>raspisa</w:t>
      </w:r>
      <w:r w:rsidR="00196E82">
        <w:rPr>
          <w:sz w:val="22"/>
          <w:szCs w:val="22"/>
        </w:rPr>
        <w:t>la</w:t>
      </w:r>
      <w:r>
        <w:rPr>
          <w:sz w:val="22"/>
          <w:szCs w:val="22"/>
        </w:rPr>
        <w:t xml:space="preserve"> je</w:t>
      </w:r>
      <w:r w:rsidR="001B3C16">
        <w:rPr>
          <w:sz w:val="22"/>
          <w:szCs w:val="22"/>
        </w:rPr>
        <w:t xml:space="preserve"> javni Natječaj</w:t>
      </w: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196E82" w:rsidRDefault="004F6D7F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47633C">
        <w:rPr>
          <w:b/>
          <w:sz w:val="22"/>
          <w:szCs w:val="22"/>
        </w:rPr>
        <w:t xml:space="preserve"> </w:t>
      </w:r>
      <w:r w:rsidR="001B3C16" w:rsidRPr="008F4943">
        <w:rPr>
          <w:b/>
          <w:sz w:val="22"/>
          <w:szCs w:val="22"/>
          <w:u w:val="single"/>
        </w:rPr>
        <w:t xml:space="preserve">ZA RADNO MJESTO </w:t>
      </w:r>
      <w:r w:rsidR="00196E82">
        <w:rPr>
          <w:b/>
          <w:sz w:val="22"/>
          <w:szCs w:val="22"/>
          <w:u w:val="single"/>
        </w:rPr>
        <w:t>REFERENT UREDSKOG POSLOVANJA</w:t>
      </w:r>
      <w:r w:rsidR="007C4EE2">
        <w:rPr>
          <w:b/>
          <w:sz w:val="22"/>
          <w:szCs w:val="22"/>
          <w:u w:val="single"/>
        </w:rPr>
        <w:t xml:space="preserve">, </w:t>
      </w:r>
    </w:p>
    <w:p w:rsidR="001B3C16" w:rsidRPr="008F4943" w:rsidRDefault="007C4EE2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Izdvojeno mjesto rada u </w:t>
      </w:r>
      <w:r w:rsidR="00196E82">
        <w:rPr>
          <w:b/>
          <w:sz w:val="22"/>
          <w:szCs w:val="22"/>
          <w:u w:val="single"/>
        </w:rPr>
        <w:t xml:space="preserve">Đurđevcu </w:t>
      </w:r>
      <w:r w:rsidR="001B3C16" w:rsidRPr="008F4943">
        <w:rPr>
          <w:b/>
          <w:sz w:val="22"/>
          <w:szCs w:val="22"/>
          <w:u w:val="single"/>
        </w:rPr>
        <w:t xml:space="preserve"> </w:t>
      </w:r>
    </w:p>
    <w:p w:rsidR="001B3C16" w:rsidRDefault="001B3C16" w:rsidP="001B3C16">
      <w:pPr>
        <w:ind w:left="34" w:firstLine="108"/>
        <w:jc w:val="center"/>
        <w:rPr>
          <w:b/>
          <w:sz w:val="22"/>
          <w:szCs w:val="22"/>
        </w:rPr>
      </w:pPr>
    </w:p>
    <w:p w:rsidR="001B3C16" w:rsidRPr="008F4943" w:rsidRDefault="001B3C16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u w:val="single"/>
        </w:rPr>
        <w:t xml:space="preserve">koji je objavljen u </w:t>
      </w:r>
      <w:r>
        <w:rPr>
          <w:b/>
          <w:sz w:val="22"/>
          <w:szCs w:val="22"/>
          <w:u w:val="single"/>
        </w:rPr>
        <w:t>„Narodnim novinama“ broj</w:t>
      </w:r>
      <w:r w:rsidRPr="008F494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7C4EE2">
        <w:rPr>
          <w:b/>
          <w:sz w:val="22"/>
          <w:szCs w:val="22"/>
          <w:u w:val="single"/>
        </w:rPr>
        <w:t>81</w:t>
      </w:r>
      <w:r>
        <w:rPr>
          <w:b/>
          <w:sz w:val="22"/>
          <w:szCs w:val="22"/>
          <w:u w:val="single"/>
        </w:rPr>
        <w:t xml:space="preserve">/20 </w:t>
      </w:r>
      <w:r w:rsidRPr="008F4943">
        <w:rPr>
          <w:b/>
          <w:sz w:val="22"/>
          <w:szCs w:val="22"/>
          <w:u w:val="single"/>
        </w:rPr>
        <w:t xml:space="preserve">od </w:t>
      </w:r>
      <w:r w:rsidR="007C4EE2">
        <w:rPr>
          <w:b/>
          <w:sz w:val="22"/>
          <w:szCs w:val="22"/>
          <w:u w:val="single"/>
        </w:rPr>
        <w:t>15. srpnja</w:t>
      </w:r>
      <w:r w:rsidRPr="008F4943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20</w:t>
      </w:r>
      <w:r w:rsidRPr="008F4943">
        <w:rPr>
          <w:b/>
          <w:sz w:val="22"/>
          <w:szCs w:val="22"/>
          <w:u w:val="single"/>
        </w:rPr>
        <w:t>.</w:t>
      </w:r>
    </w:p>
    <w:p w:rsidR="001B3C16" w:rsidRPr="008F4943" w:rsidRDefault="001B3C16" w:rsidP="001B3C16">
      <w:pPr>
        <w:jc w:val="both"/>
        <w:rPr>
          <w:b/>
          <w:sz w:val="22"/>
          <w:szCs w:val="22"/>
        </w:rPr>
      </w:pPr>
    </w:p>
    <w:p w:rsidR="001B3C16" w:rsidRPr="007529C5" w:rsidRDefault="001B3C16" w:rsidP="001B3C16">
      <w:pPr>
        <w:jc w:val="center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>– 1 izvršitelj/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 xml:space="preserve">, na </w:t>
      </w:r>
      <w:r>
        <w:rPr>
          <w:b/>
          <w:sz w:val="22"/>
          <w:szCs w:val="22"/>
        </w:rPr>
        <w:t>neodređeno vrijeme, uz obavezan probni rad od tri mjeseca</w:t>
      </w:r>
    </w:p>
    <w:p w:rsidR="004F6D7F" w:rsidRDefault="004F6D7F" w:rsidP="001B3C16">
      <w:pPr>
        <w:jc w:val="center"/>
        <w:rPr>
          <w:b/>
          <w:sz w:val="20"/>
        </w:rPr>
      </w:pPr>
    </w:p>
    <w:p w:rsidR="001B3C16" w:rsidRPr="00561F35" w:rsidRDefault="001B3C16" w:rsidP="001B3C16">
      <w:pPr>
        <w:pStyle w:val="Tijeloteksta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B36400" w:rsidRPr="00DA192F" w:rsidRDefault="00B36400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B36400" w:rsidRPr="00DA192F" w:rsidRDefault="00B36400" w:rsidP="004F6D7F">
      <w:pPr>
        <w:rPr>
          <w:b/>
          <w:sz w:val="22"/>
          <w:szCs w:val="22"/>
        </w:rPr>
      </w:pPr>
    </w:p>
    <w:p w:rsidR="004F6D7F" w:rsidRPr="00ED7E29" w:rsidRDefault="004F6D7F" w:rsidP="004F6D7F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Pr="00ED7E29">
        <w:rPr>
          <w:b/>
          <w:sz w:val="22"/>
          <w:szCs w:val="22"/>
        </w:rPr>
        <w:t>–</w:t>
      </w:r>
      <w:r w:rsidRPr="00ED7E29">
        <w:rPr>
          <w:b/>
          <w:sz w:val="22"/>
          <w:szCs w:val="22"/>
          <w:lang w:val="pl-PL"/>
        </w:rPr>
        <w:t xml:space="preserve"> </w:t>
      </w:r>
      <w:r w:rsidR="0097173E">
        <w:rPr>
          <w:b/>
          <w:sz w:val="22"/>
          <w:szCs w:val="22"/>
        </w:rPr>
        <w:t>referent uredskog poslovanja</w:t>
      </w:r>
    </w:p>
    <w:p w:rsidR="000E1FF2" w:rsidRPr="000E1FF2" w:rsidRDefault="000E1FF2" w:rsidP="000E1FF2">
      <w:pPr>
        <w:jc w:val="both"/>
        <w:rPr>
          <w:sz w:val="22"/>
          <w:szCs w:val="22"/>
        </w:rPr>
      </w:pPr>
      <w:r w:rsidRPr="000E1FF2">
        <w:rPr>
          <w:sz w:val="22"/>
          <w:szCs w:val="22"/>
        </w:rPr>
        <w:t xml:space="preserve">Obavlja poslove primanja, otvaranja i pregledavanja pismena, dokumenata i drugih pošiljki te njihovo razvrstavanje i raspoređivanje, upisivanje u elektronske evidencije u skladu sa Uredbom o uredskom poslovanju (dalje: Uredba) i dostavljanje putem internih dostavnih knjiga samostalnim </w:t>
      </w:r>
      <w:proofErr w:type="spellStart"/>
      <w:r w:rsidRPr="000E1FF2">
        <w:rPr>
          <w:sz w:val="22"/>
          <w:szCs w:val="22"/>
        </w:rPr>
        <w:t>izvršiteljima</w:t>
      </w:r>
      <w:r>
        <w:rPr>
          <w:sz w:val="22"/>
          <w:szCs w:val="22"/>
        </w:rPr>
        <w:t>.</w:t>
      </w:r>
      <w:r w:rsidRPr="000E1FF2">
        <w:rPr>
          <w:sz w:val="22"/>
          <w:szCs w:val="22"/>
        </w:rPr>
        <w:t>U</w:t>
      </w:r>
      <w:proofErr w:type="spellEnd"/>
      <w:r w:rsidRPr="000E1FF2">
        <w:rPr>
          <w:sz w:val="22"/>
          <w:szCs w:val="22"/>
        </w:rPr>
        <w:t xml:space="preserve"> skladu sa Uredbom vodi u elektronskom obliku propisane evidencije i to: urudžbeni zapisnik, Upisnik I. i II. stupnja predmeta te u njima razvodi spise predmeta prema uputi pisarnici od strane službenika koji po spisu postupa, na kraju godine zaključuje knjige i ispisuje neriješene predmete.</w:t>
      </w:r>
      <w:r>
        <w:rPr>
          <w:sz w:val="22"/>
          <w:szCs w:val="22"/>
        </w:rPr>
        <w:t xml:space="preserve"> </w:t>
      </w:r>
      <w:r w:rsidRPr="000E1FF2">
        <w:rPr>
          <w:sz w:val="22"/>
          <w:szCs w:val="22"/>
        </w:rPr>
        <w:t xml:space="preserve">U odsutnosti referenta uredskog poslovanja-arhivara obavlja otpremanje akata preuzetih u toku dana na otpremu, obračunava poštarinu, vodi </w:t>
      </w:r>
      <w:proofErr w:type="spellStart"/>
      <w:r w:rsidRPr="000E1FF2">
        <w:rPr>
          <w:sz w:val="22"/>
          <w:szCs w:val="22"/>
        </w:rPr>
        <w:t>kontrolnik</w:t>
      </w:r>
      <w:proofErr w:type="spellEnd"/>
      <w:r w:rsidRPr="000E1FF2">
        <w:rPr>
          <w:sz w:val="22"/>
          <w:szCs w:val="22"/>
        </w:rPr>
        <w:t xml:space="preserve"> poštarine, knjigu preporučene i obične pošte.</w:t>
      </w:r>
      <w:r>
        <w:rPr>
          <w:sz w:val="22"/>
          <w:szCs w:val="22"/>
        </w:rPr>
        <w:t xml:space="preserve">  </w:t>
      </w:r>
      <w:r w:rsidRPr="000E1FF2">
        <w:rPr>
          <w:sz w:val="22"/>
          <w:szCs w:val="22"/>
        </w:rPr>
        <w:t>U skladu sa uputom pisarnici, Uredbom i posebnim pravilnikom stavlja dovršene spise predmeta u pismohranu na čuvanje, na zahtjev stranke izdaje kopije građevinskih dozvola. Pomaže referentu uredskog poslovanja-glavnom arhivaru u nadziranju gradiva u pismohranama.</w:t>
      </w:r>
    </w:p>
    <w:p w:rsidR="000E1FF2" w:rsidRDefault="000E1FF2" w:rsidP="000E1FF2">
      <w:pPr>
        <w:ind w:right="34" w:firstLine="317"/>
        <w:jc w:val="both"/>
        <w:rPr>
          <w:b/>
          <w:sz w:val="22"/>
          <w:szCs w:val="22"/>
          <w:u w:val="single"/>
          <w:lang w:val="pl-PL"/>
        </w:rPr>
      </w:pP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1B3C16" w:rsidRPr="00083234" w:rsidRDefault="001B3C16" w:rsidP="001B3C16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</w:t>
      </w:r>
      <w:r>
        <w:rPr>
          <w:sz w:val="22"/>
          <w:szCs w:val="22"/>
          <w:lang w:val="pl-PL"/>
        </w:rPr>
        <w:t>18/19</w:t>
      </w:r>
      <w:r w:rsidRPr="008F4943">
        <w:rPr>
          <w:sz w:val="22"/>
          <w:szCs w:val="22"/>
          <w:lang w:val="pl-PL"/>
        </w:rPr>
        <w:t xml:space="preserve">.), za poslove </w:t>
      </w:r>
      <w:r w:rsidR="0097173E">
        <w:rPr>
          <w:sz w:val="22"/>
          <w:szCs w:val="22"/>
          <w:lang w:val="pl-PL"/>
        </w:rPr>
        <w:t>referenta uredskog poslovanja</w:t>
      </w:r>
      <w:r w:rsidRPr="008F4943">
        <w:rPr>
          <w:sz w:val="22"/>
          <w:szCs w:val="22"/>
          <w:lang w:val="pl-PL"/>
        </w:rPr>
        <w:t xml:space="preserve"> koeficijent </w:t>
      </w:r>
      <w:r w:rsidR="00A63E5F">
        <w:rPr>
          <w:sz w:val="22"/>
          <w:szCs w:val="22"/>
          <w:lang w:val="pl-PL"/>
        </w:rPr>
        <w:t>2,25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1B3C16" w:rsidRPr="00DA192F" w:rsidRDefault="001B3C16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Prethodnoj provjeri znanja kandidata mogu pristupiti samo kandidati koji ispunjavaju formalne uvjete iz</w:t>
      </w:r>
      <w:r w:rsidR="001B3C16">
        <w:rPr>
          <w:b/>
          <w:sz w:val="22"/>
          <w:szCs w:val="22"/>
        </w:rPr>
        <w:t xml:space="preserve"> javnog</w:t>
      </w:r>
      <w:r w:rsidRPr="00DA192F">
        <w:rPr>
          <w:b/>
          <w:sz w:val="22"/>
          <w:szCs w:val="22"/>
        </w:rPr>
        <w:t xml:space="preserve"> </w:t>
      </w:r>
      <w:r w:rsidR="001B3C16">
        <w:rPr>
          <w:b/>
          <w:sz w:val="22"/>
          <w:szCs w:val="22"/>
        </w:rPr>
        <w:t>Natječaja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B36400" w:rsidRDefault="00B36400" w:rsidP="00B36400">
      <w:pPr>
        <w:jc w:val="both"/>
        <w:rPr>
          <w:b/>
          <w:sz w:val="22"/>
          <w:szCs w:val="22"/>
          <w:lang w:val="it-IT"/>
        </w:rPr>
      </w:pPr>
    </w:p>
    <w:p w:rsidR="00B36400" w:rsidRDefault="00B36400" w:rsidP="00B36400">
      <w:pPr>
        <w:jc w:val="center"/>
        <w:rPr>
          <w:rFonts w:cs="Arial"/>
          <w:b/>
          <w:sz w:val="20"/>
        </w:rPr>
      </w:pPr>
      <w:r w:rsidRPr="00DA192F">
        <w:rPr>
          <w:b/>
          <w:sz w:val="22"/>
          <w:szCs w:val="22"/>
          <w:lang w:val="it-IT"/>
        </w:rPr>
        <w:t>POZIV ZA TESTIRANJE BITI ĆE OBJAVLJEN,</w:t>
      </w:r>
      <w:r w:rsidR="006B3615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>.</w:t>
      </w:r>
    </w:p>
    <w:p w:rsidR="0096061B" w:rsidRDefault="0096061B" w:rsidP="00170BE7">
      <w:pPr>
        <w:jc w:val="center"/>
        <w:rPr>
          <w:b/>
          <w:sz w:val="22"/>
          <w:szCs w:val="22"/>
          <w:u w:val="single"/>
        </w:rPr>
      </w:pPr>
    </w:p>
    <w:p w:rsidR="00B36400" w:rsidRDefault="00B36400" w:rsidP="00170BE7">
      <w:pPr>
        <w:jc w:val="center"/>
        <w:rPr>
          <w:b/>
          <w:sz w:val="22"/>
          <w:szCs w:val="22"/>
          <w:u w:val="single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proofErr w:type="gramStart"/>
      <w:r w:rsidR="001B3C16">
        <w:rPr>
          <w:sz w:val="22"/>
          <w:szCs w:val="22"/>
          <w:lang w:val="it-IT"/>
        </w:rPr>
        <w:t>Natječaj</w:t>
      </w:r>
      <w:proofErr w:type="spellEnd"/>
      <w:r w:rsidR="001B3C16">
        <w:rPr>
          <w:sz w:val="22"/>
          <w:szCs w:val="22"/>
          <w:lang w:val="it-IT"/>
        </w:rPr>
        <w:t xml:space="preserve"> 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proofErr w:type="gram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4F6D7F" w:rsidRDefault="004F6D7F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Pr="007557E6" w:rsidRDefault="001B3C16" w:rsidP="001B3C16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7557E6">
        <w:rPr>
          <w:noProof/>
          <w:sz w:val="22"/>
          <w:szCs w:val="22"/>
          <w:u w:val="single"/>
          <w:lang w:val="pl-PL" w:eastAsia="hr-HR"/>
        </w:rPr>
        <w:t>OPĆI DIO:</w:t>
      </w:r>
    </w:p>
    <w:p w:rsidR="001B3C16" w:rsidRPr="007557E6" w:rsidRDefault="001B3C16" w:rsidP="001B3C16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7557E6">
        <w:rPr>
          <w:bCs/>
          <w:iCs/>
          <w:sz w:val="22"/>
          <w:szCs w:val="22"/>
          <w:lang w:eastAsia="hr-HR"/>
        </w:rPr>
        <w:t xml:space="preserve">Ustav </w:t>
      </w:r>
      <w:r w:rsidRPr="007557E6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7557E6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1B3C16" w:rsidRPr="007557E6" w:rsidRDefault="001B3C16" w:rsidP="001B3C16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7557E6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7557E6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 i 98/19.),</w:t>
      </w:r>
    </w:p>
    <w:p w:rsidR="001B3C16" w:rsidRDefault="001B3C16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lastRenderedPageBreak/>
        <w:t xml:space="preserve">POSEBNI DIO: </w:t>
      </w:r>
    </w:p>
    <w:p w:rsidR="0097173E" w:rsidRPr="006B3615" w:rsidRDefault="0097173E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sz w:val="22"/>
          <w:szCs w:val="22"/>
        </w:rPr>
        <w:t>Uredba o uredskom poslovanju</w:t>
      </w:r>
      <w:r w:rsidR="007A49BC">
        <w:rPr>
          <w:sz w:val="22"/>
          <w:szCs w:val="22"/>
        </w:rPr>
        <w:t xml:space="preserve"> </w:t>
      </w:r>
      <w:r w:rsidRPr="007557E6">
        <w:rPr>
          <w:bCs/>
          <w:iCs/>
          <w:sz w:val="22"/>
          <w:szCs w:val="22"/>
        </w:rPr>
        <w:t xml:space="preserve">("Narodne novine" broj </w:t>
      </w:r>
      <w:r w:rsidR="00A63E5F">
        <w:rPr>
          <w:bCs/>
          <w:iCs/>
          <w:sz w:val="22"/>
          <w:szCs w:val="22"/>
        </w:rPr>
        <w:t>7/09</w:t>
      </w:r>
      <w:r w:rsidRPr="007557E6">
        <w:rPr>
          <w:bCs/>
          <w:iCs/>
          <w:sz w:val="22"/>
          <w:szCs w:val="22"/>
        </w:rPr>
        <w:t>.),</w:t>
      </w:r>
    </w:p>
    <w:p w:rsidR="008662BD" w:rsidRPr="006B3615" w:rsidRDefault="006B3615" w:rsidP="006B3615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6B3615">
        <w:rPr>
          <w:bCs/>
          <w:iCs/>
          <w:sz w:val="22"/>
          <w:szCs w:val="22"/>
        </w:rPr>
        <w:t>Pravilnik o zaštiti javnog arhivskoga i dokumentarnog gradiva Koprivničko-križevačke županije („Službeni glasnik Koprivničko-križevačke županije“ broj 20/19.)</w:t>
      </w:r>
    </w:p>
    <w:p w:rsidR="006B3615" w:rsidRPr="006B3615" w:rsidRDefault="006B3615" w:rsidP="006B3615">
      <w:pPr>
        <w:pStyle w:val="T-98-2"/>
        <w:tabs>
          <w:tab w:val="clear" w:pos="2153"/>
          <w:tab w:val="left" w:pos="0"/>
        </w:tabs>
        <w:spacing w:after="0"/>
        <w:ind w:left="426" w:firstLine="0"/>
        <w:rPr>
          <w:rFonts w:ascii="Times New Roman" w:hAnsi="Times New Roman"/>
          <w:noProof/>
          <w:sz w:val="22"/>
          <w:szCs w:val="22"/>
          <w:lang w:val="pl-PL"/>
        </w:rPr>
      </w:pPr>
    </w:p>
    <w:p w:rsidR="001B3C16" w:rsidRPr="00CE6454" w:rsidRDefault="001B3C16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</w:t>
      </w:r>
      <w:r w:rsidR="001B3C16">
        <w:rPr>
          <w:b/>
          <w:sz w:val="22"/>
          <w:szCs w:val="22"/>
        </w:rPr>
        <w:t>ana</w:t>
      </w:r>
      <w:r w:rsidRPr="00DA192F">
        <w:rPr>
          <w:b/>
          <w:sz w:val="22"/>
          <w:szCs w:val="22"/>
        </w:rPr>
        <w:t xml:space="preserve">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</w:t>
      </w:r>
      <w:r w:rsidR="001B3C16">
        <w:rPr>
          <w:b/>
          <w:sz w:val="22"/>
          <w:szCs w:val="22"/>
        </w:rPr>
        <w:t>rada na računalu, pisanim putem</w:t>
      </w:r>
      <w:r w:rsidRPr="00DA192F">
        <w:rPr>
          <w:b/>
          <w:sz w:val="22"/>
          <w:szCs w:val="22"/>
        </w:rPr>
        <w:t xml:space="preserve">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B36400" w:rsidP="004F6D7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4F6D7F" w:rsidRPr="00DA192F">
        <w:rPr>
          <w:sz w:val="22"/>
          <w:szCs w:val="22"/>
        </w:rPr>
        <w:t xml:space="preserve">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 xml:space="preserve">Povjerenstvo dostavlja Izvješće o provedenom postupku </w:t>
      </w:r>
      <w:r w:rsidR="006B3615">
        <w:rPr>
          <w:sz w:val="22"/>
          <w:szCs w:val="22"/>
        </w:rPr>
        <w:t>pročelnici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6B3615" w:rsidP="004F6D7F">
      <w:pPr>
        <w:jc w:val="both"/>
        <w:rPr>
          <w:sz w:val="22"/>
          <w:szCs w:val="22"/>
        </w:rPr>
      </w:pPr>
      <w:r>
        <w:rPr>
          <w:sz w:val="22"/>
          <w:szCs w:val="22"/>
        </w:rPr>
        <w:t>Pročelnica</w:t>
      </w:r>
      <w:r w:rsidR="004F6D7F" w:rsidRPr="00A15B8D">
        <w:rPr>
          <w:sz w:val="22"/>
          <w:szCs w:val="22"/>
        </w:rPr>
        <w:t xml:space="preserve"> donosi rješenje o prijmu</w:t>
      </w:r>
      <w:r w:rsidR="00B36400">
        <w:rPr>
          <w:sz w:val="22"/>
          <w:szCs w:val="22"/>
        </w:rPr>
        <w:t xml:space="preserve"> u službu</w:t>
      </w:r>
      <w:r w:rsidR="004F6D7F" w:rsidRPr="00A15B8D">
        <w:rPr>
          <w:sz w:val="22"/>
          <w:szCs w:val="22"/>
        </w:rPr>
        <w:t xml:space="preserve"> izabranog kandidata, koje će biti dostavljeno svim kandidatima prijavljenim na javni natječaj, a koji su ispunili formalne uvjete </w:t>
      </w:r>
      <w:r w:rsidR="00B36400">
        <w:rPr>
          <w:sz w:val="22"/>
          <w:szCs w:val="22"/>
        </w:rPr>
        <w:t xml:space="preserve">javnog </w:t>
      </w:r>
      <w:r w:rsidR="004F6D7F" w:rsidRPr="00A15B8D">
        <w:rPr>
          <w:sz w:val="22"/>
          <w:szCs w:val="22"/>
        </w:rPr>
        <w:t>natječaja</w:t>
      </w:r>
      <w:r w:rsidR="00404E56">
        <w:rPr>
          <w:sz w:val="22"/>
          <w:szCs w:val="22"/>
        </w:rPr>
        <w:t xml:space="preserve"> i pristupili su testiranju</w:t>
      </w:r>
      <w:r w:rsidR="004F6D7F" w:rsidRPr="00A15B8D">
        <w:rPr>
          <w:sz w:val="22"/>
          <w:szCs w:val="22"/>
        </w:rPr>
        <w:t xml:space="preserve">. </w:t>
      </w:r>
    </w:p>
    <w:p w:rsidR="00B36400" w:rsidRDefault="00B36400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t>Kandidat za službenika koji nije zadovoljan rješenjem o prijmu u službu izabranog kandidata ima pravo podnijeti žalbu u roku 15 dana od dana primitka rješenja. Žalba se predaje u Koprivničko-križevačkoj županiji ili putem pošte, županu Koprivničko-križevačke županije.</w:t>
      </w:r>
    </w:p>
    <w:p w:rsidR="00B36400" w:rsidRDefault="00B36400" w:rsidP="00B36400">
      <w:pPr>
        <w:jc w:val="both"/>
        <w:rPr>
          <w:sz w:val="22"/>
          <w:szCs w:val="22"/>
        </w:rPr>
      </w:pPr>
    </w:p>
    <w:p w:rsidR="00B36400" w:rsidRDefault="00B36400" w:rsidP="00B36400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Izabrani kandidat mora dostaviti uvjerenje o zdravstvenoj sposobnosti</w:t>
      </w:r>
      <w:r>
        <w:rPr>
          <w:sz w:val="22"/>
          <w:szCs w:val="22"/>
        </w:rPr>
        <w:t>.</w:t>
      </w: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B36400" w:rsidRPr="002C3FFE" w:rsidRDefault="00B36400" w:rsidP="00B36400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</w:t>
      </w:r>
      <w:proofErr w:type="spellStart"/>
      <w:r w:rsidRPr="002C3FFE">
        <w:rPr>
          <w:sz w:val="22"/>
          <w:szCs w:val="22"/>
          <w:lang w:val="it-IT"/>
        </w:rPr>
        <w:t>Vašim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podacima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postupat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ćemo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sukladno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Općoj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uredbi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(EU GDPR) i </w:t>
      </w:r>
      <w:proofErr w:type="spellStart"/>
      <w:r w:rsidRPr="002C3FFE">
        <w:rPr>
          <w:sz w:val="22"/>
          <w:szCs w:val="22"/>
          <w:lang w:val="it-IT"/>
        </w:rPr>
        <w:t>Zakonu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provedbi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uredbe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(„</w:t>
      </w:r>
      <w:proofErr w:type="spellStart"/>
      <w:r w:rsidRPr="002C3FFE">
        <w:rPr>
          <w:sz w:val="22"/>
          <w:szCs w:val="22"/>
          <w:lang w:val="it-IT"/>
        </w:rPr>
        <w:t>Narodne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novine</w:t>
      </w:r>
      <w:proofErr w:type="spellEnd"/>
      <w:r w:rsidRPr="002C3FFE">
        <w:rPr>
          <w:sz w:val="22"/>
          <w:szCs w:val="22"/>
          <w:lang w:val="it-IT"/>
        </w:rPr>
        <w:t xml:space="preserve">“ </w:t>
      </w:r>
      <w:proofErr w:type="spellStart"/>
      <w:r w:rsidRPr="002C3FFE">
        <w:rPr>
          <w:sz w:val="22"/>
          <w:szCs w:val="22"/>
          <w:lang w:val="it-IT"/>
        </w:rPr>
        <w:t>broj</w:t>
      </w:r>
      <w:proofErr w:type="spellEnd"/>
      <w:r w:rsidRPr="002C3FFE">
        <w:rPr>
          <w:sz w:val="22"/>
          <w:szCs w:val="22"/>
          <w:lang w:val="it-IT"/>
        </w:rPr>
        <w:t xml:space="preserve"> 42/18.), te u </w:t>
      </w:r>
      <w:proofErr w:type="spellStart"/>
      <w:r w:rsidRPr="002C3FFE">
        <w:rPr>
          <w:sz w:val="22"/>
          <w:szCs w:val="22"/>
          <w:lang w:val="it-IT"/>
        </w:rPr>
        <w:t>skladu</w:t>
      </w:r>
      <w:proofErr w:type="spellEnd"/>
      <w:r w:rsidRPr="002C3FFE">
        <w:rPr>
          <w:sz w:val="22"/>
          <w:szCs w:val="22"/>
          <w:lang w:val="it-IT"/>
        </w:rPr>
        <w:t xml:space="preserve"> s </w:t>
      </w:r>
      <w:proofErr w:type="spellStart"/>
      <w:r w:rsidRPr="002C3FFE">
        <w:rPr>
          <w:sz w:val="22"/>
          <w:szCs w:val="22"/>
          <w:lang w:val="it-IT"/>
        </w:rPr>
        <w:t>Politikom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privatnosti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</w:t>
      </w:r>
      <w:proofErr w:type="spellStart"/>
      <w:r w:rsidRPr="002C3FFE">
        <w:rPr>
          <w:sz w:val="22"/>
          <w:szCs w:val="22"/>
          <w:lang w:val="it-IT"/>
        </w:rPr>
        <w:t>koja</w:t>
      </w:r>
      <w:proofErr w:type="spellEnd"/>
      <w:r w:rsidRPr="002C3FFE">
        <w:rPr>
          <w:sz w:val="22"/>
          <w:szCs w:val="22"/>
          <w:lang w:val="it-IT"/>
        </w:rPr>
        <w:t xml:space="preserve"> je </w:t>
      </w:r>
      <w:proofErr w:type="spellStart"/>
      <w:r w:rsidRPr="002C3FFE">
        <w:rPr>
          <w:sz w:val="22"/>
          <w:szCs w:val="22"/>
          <w:lang w:val="it-IT"/>
        </w:rPr>
        <w:t>objavljena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može</w:t>
      </w:r>
      <w:proofErr w:type="spellEnd"/>
      <w:r w:rsidRPr="002C3FFE">
        <w:rPr>
          <w:sz w:val="22"/>
          <w:szCs w:val="22"/>
          <w:lang w:val="it-IT"/>
        </w:rPr>
        <w:t xml:space="preserve"> se </w:t>
      </w:r>
      <w:proofErr w:type="spellStart"/>
      <w:r w:rsidRPr="002C3FFE">
        <w:rPr>
          <w:sz w:val="22"/>
          <w:szCs w:val="22"/>
          <w:lang w:val="it-IT"/>
        </w:rPr>
        <w:t>pročitati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na</w:t>
      </w:r>
      <w:proofErr w:type="spellEnd"/>
      <w:r w:rsidRPr="002C3FFE">
        <w:rPr>
          <w:sz w:val="22"/>
          <w:szCs w:val="22"/>
          <w:lang w:val="it-IT"/>
        </w:rPr>
        <w:t xml:space="preserve"> web </w:t>
      </w:r>
      <w:proofErr w:type="spellStart"/>
      <w:r w:rsidRPr="002C3FFE">
        <w:rPr>
          <w:sz w:val="22"/>
          <w:szCs w:val="22"/>
          <w:lang w:val="it-IT"/>
        </w:rPr>
        <w:t>stranici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Koprivničko-križevačke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županije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hyperlink r:id="rId6" w:history="1">
        <w:r w:rsidRPr="00947867">
          <w:rPr>
            <w:rStyle w:val="Hiperveza"/>
            <w:sz w:val="22"/>
            <w:szCs w:val="22"/>
            <w:lang w:val="it-IT"/>
          </w:rPr>
          <w:t>https://kckzz.hr/uprava/politika-zastite-privatnosti-osobnih-podataka/</w:t>
        </w:r>
      </w:hyperlink>
      <w:r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uz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primjenu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odgovarajućih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organizacijskih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tehničkih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mjera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od </w:t>
      </w:r>
      <w:proofErr w:type="spellStart"/>
      <w:r w:rsidRPr="002C3FFE">
        <w:rPr>
          <w:sz w:val="22"/>
          <w:szCs w:val="22"/>
          <w:lang w:val="it-IT"/>
        </w:rPr>
        <w:t>neovlaštenog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pristupa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zlouporabe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otkrivanja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gubitka</w:t>
      </w:r>
      <w:proofErr w:type="spellEnd"/>
      <w:r w:rsidRPr="002C3FFE">
        <w:rPr>
          <w:sz w:val="22"/>
          <w:szCs w:val="22"/>
          <w:lang w:val="it-IT"/>
        </w:rPr>
        <w:t xml:space="preserve"> ili </w:t>
      </w:r>
      <w:proofErr w:type="spellStart"/>
      <w:r w:rsidRPr="002C3FFE">
        <w:rPr>
          <w:sz w:val="22"/>
          <w:szCs w:val="22"/>
          <w:lang w:val="it-IT"/>
        </w:rPr>
        <w:t>uništenja</w:t>
      </w:r>
      <w:proofErr w:type="spellEnd"/>
      <w:r w:rsidRPr="002C3FFE">
        <w:rPr>
          <w:sz w:val="22"/>
          <w:szCs w:val="22"/>
          <w:lang w:val="it-IT"/>
        </w:rPr>
        <w:t>.</w:t>
      </w:r>
    </w:p>
    <w:p w:rsidR="00B36400" w:rsidRPr="0011264D" w:rsidRDefault="00B36400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1B3C1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9433" w:hanging="360"/>
      </w:pPr>
    </w:lvl>
    <w:lvl w:ilvl="1" w:tplc="041A0019" w:tentative="1">
      <w:start w:val="1"/>
      <w:numFmt w:val="lowerLetter"/>
      <w:lvlText w:val="%2."/>
      <w:lvlJc w:val="left"/>
      <w:pPr>
        <w:ind w:left="10153" w:hanging="360"/>
      </w:pPr>
    </w:lvl>
    <w:lvl w:ilvl="2" w:tplc="041A001B" w:tentative="1">
      <w:start w:val="1"/>
      <w:numFmt w:val="lowerRoman"/>
      <w:lvlText w:val="%3."/>
      <w:lvlJc w:val="right"/>
      <w:pPr>
        <w:ind w:left="10873" w:hanging="180"/>
      </w:pPr>
    </w:lvl>
    <w:lvl w:ilvl="3" w:tplc="041A000F" w:tentative="1">
      <w:start w:val="1"/>
      <w:numFmt w:val="decimal"/>
      <w:lvlText w:val="%4."/>
      <w:lvlJc w:val="left"/>
      <w:pPr>
        <w:ind w:left="11593" w:hanging="360"/>
      </w:pPr>
    </w:lvl>
    <w:lvl w:ilvl="4" w:tplc="041A0019" w:tentative="1">
      <w:start w:val="1"/>
      <w:numFmt w:val="lowerLetter"/>
      <w:lvlText w:val="%5."/>
      <w:lvlJc w:val="left"/>
      <w:pPr>
        <w:ind w:left="12313" w:hanging="360"/>
      </w:pPr>
    </w:lvl>
    <w:lvl w:ilvl="5" w:tplc="041A001B" w:tentative="1">
      <w:start w:val="1"/>
      <w:numFmt w:val="lowerRoman"/>
      <w:lvlText w:val="%6."/>
      <w:lvlJc w:val="right"/>
      <w:pPr>
        <w:ind w:left="13033" w:hanging="180"/>
      </w:pPr>
    </w:lvl>
    <w:lvl w:ilvl="6" w:tplc="041A000F" w:tentative="1">
      <w:start w:val="1"/>
      <w:numFmt w:val="decimal"/>
      <w:lvlText w:val="%7."/>
      <w:lvlJc w:val="left"/>
      <w:pPr>
        <w:ind w:left="13753" w:hanging="360"/>
      </w:pPr>
    </w:lvl>
    <w:lvl w:ilvl="7" w:tplc="041A0019" w:tentative="1">
      <w:start w:val="1"/>
      <w:numFmt w:val="lowerLetter"/>
      <w:lvlText w:val="%8."/>
      <w:lvlJc w:val="left"/>
      <w:pPr>
        <w:ind w:left="14473" w:hanging="360"/>
      </w:pPr>
    </w:lvl>
    <w:lvl w:ilvl="8" w:tplc="041A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426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742B"/>
    <w:rsid w:val="000356A4"/>
    <w:rsid w:val="00071A49"/>
    <w:rsid w:val="00073BE4"/>
    <w:rsid w:val="000A1B55"/>
    <w:rsid w:val="000C22B6"/>
    <w:rsid w:val="000E1FF2"/>
    <w:rsid w:val="00122366"/>
    <w:rsid w:val="001344FB"/>
    <w:rsid w:val="001522F8"/>
    <w:rsid w:val="00162667"/>
    <w:rsid w:val="00170BE7"/>
    <w:rsid w:val="00196E82"/>
    <w:rsid w:val="001B3C16"/>
    <w:rsid w:val="001D03F8"/>
    <w:rsid w:val="001D5BA7"/>
    <w:rsid w:val="00201590"/>
    <w:rsid w:val="00210008"/>
    <w:rsid w:val="002712BA"/>
    <w:rsid w:val="002D010F"/>
    <w:rsid w:val="002E4960"/>
    <w:rsid w:val="003048B4"/>
    <w:rsid w:val="00310017"/>
    <w:rsid w:val="00321E37"/>
    <w:rsid w:val="00332F7E"/>
    <w:rsid w:val="003775C6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2BC7"/>
    <w:rsid w:val="004D291F"/>
    <w:rsid w:val="004F6D7F"/>
    <w:rsid w:val="00505D8A"/>
    <w:rsid w:val="00526416"/>
    <w:rsid w:val="00542E97"/>
    <w:rsid w:val="005601E7"/>
    <w:rsid w:val="005721F8"/>
    <w:rsid w:val="006114C4"/>
    <w:rsid w:val="00656EC3"/>
    <w:rsid w:val="00660029"/>
    <w:rsid w:val="00666709"/>
    <w:rsid w:val="006A0B13"/>
    <w:rsid w:val="006A3F11"/>
    <w:rsid w:val="006B3615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A49BC"/>
    <w:rsid w:val="007C4EE2"/>
    <w:rsid w:val="007D5064"/>
    <w:rsid w:val="008662BD"/>
    <w:rsid w:val="00886069"/>
    <w:rsid w:val="00892197"/>
    <w:rsid w:val="0089448A"/>
    <w:rsid w:val="008B05C7"/>
    <w:rsid w:val="008D2615"/>
    <w:rsid w:val="008D32D2"/>
    <w:rsid w:val="008E4685"/>
    <w:rsid w:val="009119E1"/>
    <w:rsid w:val="00954513"/>
    <w:rsid w:val="0096061B"/>
    <w:rsid w:val="0097173E"/>
    <w:rsid w:val="0099150C"/>
    <w:rsid w:val="009B5321"/>
    <w:rsid w:val="00A039BF"/>
    <w:rsid w:val="00A13C40"/>
    <w:rsid w:val="00A35EA0"/>
    <w:rsid w:val="00A518F2"/>
    <w:rsid w:val="00A63E5F"/>
    <w:rsid w:val="00A858F0"/>
    <w:rsid w:val="00A859B9"/>
    <w:rsid w:val="00AD5E62"/>
    <w:rsid w:val="00AF2015"/>
    <w:rsid w:val="00AF228D"/>
    <w:rsid w:val="00B36400"/>
    <w:rsid w:val="00B62021"/>
    <w:rsid w:val="00B74A93"/>
    <w:rsid w:val="00B77BA8"/>
    <w:rsid w:val="00C16281"/>
    <w:rsid w:val="00C34D8C"/>
    <w:rsid w:val="00C86BA7"/>
    <w:rsid w:val="00CA4351"/>
    <w:rsid w:val="00CB1D00"/>
    <w:rsid w:val="00CB35DD"/>
    <w:rsid w:val="00CB5B71"/>
    <w:rsid w:val="00CC4E74"/>
    <w:rsid w:val="00CF1ADC"/>
    <w:rsid w:val="00CF79C3"/>
    <w:rsid w:val="00CF7B3D"/>
    <w:rsid w:val="00D02083"/>
    <w:rsid w:val="00D8114A"/>
    <w:rsid w:val="00D87155"/>
    <w:rsid w:val="00D93D8B"/>
    <w:rsid w:val="00E03DD7"/>
    <w:rsid w:val="00E47630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FA9A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styleId="Hiperveza">
    <w:name w:val="Hyperlink"/>
    <w:basedOn w:val="Zadanifontodlomka"/>
    <w:uiPriority w:val="99"/>
    <w:unhideWhenUsed/>
    <w:rsid w:val="00B364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5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3306-F739-44ED-85F1-7B6B3ADA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</cp:revision>
  <cp:lastPrinted>2020-03-04T10:32:00Z</cp:lastPrinted>
  <dcterms:created xsi:type="dcterms:W3CDTF">2020-07-15T07:44:00Z</dcterms:created>
  <dcterms:modified xsi:type="dcterms:W3CDTF">2020-07-15T13:04:00Z</dcterms:modified>
</cp:coreProperties>
</file>