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23" w:rsidRDefault="00BC3423" w:rsidP="006C3FA3">
      <w:pPr>
        <w:tabs>
          <w:tab w:val="left" w:pos="1095"/>
        </w:tabs>
        <w:overflowPunct w:val="0"/>
        <w:autoSpaceDE w:val="0"/>
        <w:ind w:right="-41"/>
        <w:jc w:val="both"/>
      </w:pPr>
      <w:r w:rsidRPr="00C21C19">
        <w:t>Na temelju članka 55. Statuta Koprivničko-križevačke županije („Službeni glasnik Koprivničko-križevačke županije“ br</w:t>
      </w:r>
      <w:bookmarkStart w:id="0" w:name="_GoBack"/>
      <w:bookmarkEnd w:id="0"/>
      <w:r w:rsidRPr="00C21C19">
        <w:t xml:space="preserve">oj </w:t>
      </w:r>
      <w:r>
        <w:t>7/13.,</w:t>
      </w:r>
      <w:r w:rsidRPr="00C21C19">
        <w:t xml:space="preserve"> 14/13</w:t>
      </w:r>
      <w:r>
        <w:t>., 9/15., 11/</w:t>
      </w:r>
      <w:r w:rsidR="009C1FE3">
        <w:t xml:space="preserve">15. – pročišćeni tekst, 2/18., </w:t>
      </w:r>
      <w:r>
        <w:t>3/18. – pročišćeni tekst</w:t>
      </w:r>
      <w:r w:rsidR="009C1FE3">
        <w:t xml:space="preserve"> </w:t>
      </w:r>
      <w:r w:rsidR="00577A43">
        <w:t>i</w:t>
      </w:r>
      <w:r w:rsidR="009C1FE3">
        <w:t xml:space="preserve"> 4/20.</w:t>
      </w:r>
      <w:r w:rsidRPr="00C21C19">
        <w:t>)</w:t>
      </w:r>
      <w:r>
        <w:t xml:space="preserve">, članka 3. Proračuna Koprivničko-križevačke županije za 2020. godinu i projekcije za 2021. i 2022. godinu („Službeni glasnik Koprivničko-križevačke županije“ broj </w:t>
      </w:r>
      <w:r w:rsidR="00C74FA7">
        <w:t>18/19.</w:t>
      </w:r>
      <w:r w:rsidR="00A4723E">
        <w:t xml:space="preserve"> i 9/20.</w:t>
      </w:r>
      <w:r w:rsidR="00C74FA7">
        <w:t>) i čl. 9 Odluke o izvršavanju Proračuna Koprivničko-križevačke županije („Službeni glasnik koprivničko-križevačke županije“ broj 18/19.</w:t>
      </w:r>
      <w:r w:rsidR="00A4723E">
        <w:t xml:space="preserve"> i 9/20.</w:t>
      </w:r>
      <w:r w:rsidR="00C74FA7">
        <w:t>) i Ugovora o poslovnoj suradnji u provedbi programa kreditiranja „Poduzetništvo mladih, žena i početnika“ i „Investicije privat</w:t>
      </w:r>
      <w:r>
        <w:t xml:space="preserve">nog sektora“, KLASA:302-02/19-01/24, URBOJ:2137/1-04/08-20-7 od 18.02.2020. godine, Župan Koprivničko-križevačke županije raspisuje </w:t>
      </w:r>
    </w:p>
    <w:p w:rsidR="006E607B" w:rsidRDefault="006E607B" w:rsidP="006C3FA3">
      <w:pPr>
        <w:tabs>
          <w:tab w:val="left" w:pos="1095"/>
        </w:tabs>
        <w:overflowPunct w:val="0"/>
        <w:autoSpaceDE w:val="0"/>
        <w:ind w:right="-41"/>
        <w:jc w:val="both"/>
      </w:pPr>
    </w:p>
    <w:p w:rsidR="006C3FA3" w:rsidRPr="005827A1" w:rsidRDefault="006C3FA3" w:rsidP="006C3FA3">
      <w:pPr>
        <w:overflowPunct w:val="0"/>
        <w:autoSpaceDE w:val="0"/>
        <w:ind w:right="-41"/>
        <w:jc w:val="center"/>
        <w:rPr>
          <w:b/>
          <w:bCs/>
        </w:rPr>
      </w:pPr>
      <w:r w:rsidRPr="005827A1">
        <w:rPr>
          <w:b/>
          <w:bCs/>
        </w:rPr>
        <w:t>JAVNI POZIV</w:t>
      </w:r>
    </w:p>
    <w:p w:rsidR="00E70919" w:rsidRDefault="00E70919" w:rsidP="006C3FA3">
      <w:pPr>
        <w:overflowPunct w:val="0"/>
        <w:autoSpaceDE w:val="0"/>
        <w:ind w:right="-41"/>
        <w:jc w:val="center"/>
        <w:rPr>
          <w:b/>
          <w:bCs/>
        </w:rPr>
      </w:pPr>
    </w:p>
    <w:p w:rsidR="006E607B" w:rsidRDefault="006C3FA3" w:rsidP="006C3FA3">
      <w:pPr>
        <w:overflowPunct w:val="0"/>
        <w:autoSpaceDE w:val="0"/>
        <w:ind w:right="-41"/>
        <w:jc w:val="center"/>
        <w:rPr>
          <w:b/>
          <w:bCs/>
        </w:rPr>
      </w:pPr>
      <w:r w:rsidRPr="005827A1">
        <w:rPr>
          <w:b/>
          <w:bCs/>
        </w:rPr>
        <w:t>poslovnim subjektima</w:t>
      </w:r>
      <w:r w:rsidR="00BF6825" w:rsidRPr="005827A1">
        <w:rPr>
          <w:b/>
          <w:bCs/>
        </w:rPr>
        <w:t xml:space="preserve"> privatnog sektora</w:t>
      </w:r>
    </w:p>
    <w:p w:rsidR="006E607B" w:rsidRDefault="006C3FA3" w:rsidP="006E607B">
      <w:pPr>
        <w:overflowPunct w:val="0"/>
        <w:autoSpaceDE w:val="0"/>
        <w:ind w:right="-41"/>
        <w:jc w:val="center"/>
        <w:rPr>
          <w:b/>
          <w:bCs/>
        </w:rPr>
      </w:pPr>
      <w:r w:rsidRPr="005827A1">
        <w:rPr>
          <w:b/>
          <w:bCs/>
        </w:rPr>
        <w:t xml:space="preserve"> </w:t>
      </w:r>
      <w:r w:rsidR="005165CF" w:rsidRPr="005827A1">
        <w:rPr>
          <w:b/>
          <w:bCs/>
        </w:rPr>
        <w:t>za korištenje subvencioniranih kredita po</w:t>
      </w:r>
      <w:r w:rsidR="006E607B">
        <w:rPr>
          <w:b/>
          <w:bCs/>
        </w:rPr>
        <w:t xml:space="preserve"> </w:t>
      </w:r>
      <w:r w:rsidR="005165CF" w:rsidRPr="005827A1">
        <w:rPr>
          <w:b/>
          <w:bCs/>
        </w:rPr>
        <w:t>programima</w:t>
      </w:r>
      <w:r w:rsidRPr="005827A1">
        <w:rPr>
          <w:b/>
          <w:bCs/>
        </w:rPr>
        <w:t xml:space="preserve"> </w:t>
      </w:r>
    </w:p>
    <w:p w:rsidR="006C3FA3" w:rsidRPr="005827A1" w:rsidRDefault="006C3FA3" w:rsidP="006E607B">
      <w:pPr>
        <w:overflowPunct w:val="0"/>
        <w:autoSpaceDE w:val="0"/>
        <w:ind w:right="-41"/>
        <w:jc w:val="center"/>
        <w:rPr>
          <w:b/>
          <w:bCs/>
        </w:rPr>
      </w:pPr>
      <w:r w:rsidRPr="005827A1">
        <w:rPr>
          <w:b/>
          <w:bCs/>
        </w:rPr>
        <w:t>"Poduzetništvo mladih, žena i početnika"</w:t>
      </w:r>
      <w:r w:rsidR="005165CF" w:rsidRPr="005827A1">
        <w:rPr>
          <w:b/>
          <w:bCs/>
        </w:rPr>
        <w:t xml:space="preserve"> i „Investicije privatnog sektora“</w:t>
      </w:r>
    </w:p>
    <w:p w:rsidR="00BF53AF" w:rsidRPr="005827A1" w:rsidRDefault="00BF53AF" w:rsidP="006C3FA3">
      <w:pPr>
        <w:overflowPunct w:val="0"/>
        <w:autoSpaceDE w:val="0"/>
        <w:ind w:right="-41"/>
        <w:jc w:val="center"/>
        <w:rPr>
          <w:b/>
          <w:bCs/>
        </w:rPr>
      </w:pPr>
    </w:p>
    <w:p w:rsidR="006C3FA3" w:rsidRPr="005827A1" w:rsidRDefault="006C3FA3" w:rsidP="006C3FA3">
      <w:pPr>
        <w:overflowPunct w:val="0"/>
        <w:autoSpaceDE w:val="0"/>
        <w:ind w:right="-41"/>
        <w:jc w:val="center"/>
      </w:pPr>
      <w:r w:rsidRPr="005827A1">
        <w:t>I.</w:t>
      </w:r>
    </w:p>
    <w:p w:rsidR="006C3FA3" w:rsidRPr="005827A1" w:rsidRDefault="006C3FA3" w:rsidP="006C3FA3">
      <w:pPr>
        <w:overflowPunct w:val="0"/>
        <w:autoSpaceDE w:val="0"/>
        <w:ind w:right="-41"/>
        <w:jc w:val="center"/>
      </w:pPr>
    </w:p>
    <w:p w:rsidR="00BF6825" w:rsidRDefault="00BF6825" w:rsidP="006C3FA3">
      <w:pPr>
        <w:overflowPunct w:val="0"/>
        <w:autoSpaceDE w:val="0"/>
        <w:ind w:right="-41"/>
        <w:jc w:val="both"/>
      </w:pPr>
      <w:r w:rsidRPr="005827A1">
        <w:t>P</w:t>
      </w:r>
      <w:r w:rsidR="006C3FA3" w:rsidRPr="005827A1">
        <w:t>oziva</w:t>
      </w:r>
      <w:r w:rsidRPr="005827A1">
        <w:t>ju se</w:t>
      </w:r>
      <w:r w:rsidR="006C3FA3" w:rsidRPr="005827A1">
        <w:t xml:space="preserve"> </w:t>
      </w:r>
      <w:r w:rsidRPr="005827A1">
        <w:t xml:space="preserve">poslovni subjekti privatnog sektora (trgovačka društva, obrtnici, fizičke osobe koje samostalno obavljaju djelatnost, </w:t>
      </w:r>
      <w:r w:rsidR="00C74FA7">
        <w:t xml:space="preserve">obiteljska poljoprivredna gospodarstva, </w:t>
      </w:r>
      <w:r w:rsidR="00957949">
        <w:t>zadruge</w:t>
      </w:r>
      <w:r w:rsidRPr="005827A1">
        <w:t xml:space="preserve"> </w:t>
      </w:r>
      <w:r w:rsidR="00957949">
        <w:t xml:space="preserve"> i </w:t>
      </w:r>
      <w:r w:rsidRPr="005827A1">
        <w:t>ustanove)</w:t>
      </w:r>
      <w:r w:rsidR="005827A1" w:rsidRPr="005827A1">
        <w:t xml:space="preserve"> koji ulažu ili imaju sjedište na području Koprivničko-križevačke županije (Županija) da dostave svoje zahtjeve za kredite</w:t>
      </w:r>
      <w:r w:rsidR="00E1758E">
        <w:t xml:space="preserve"> uz subvenciju kamata</w:t>
      </w:r>
      <w:r w:rsidR="005827A1" w:rsidRPr="005827A1">
        <w:t xml:space="preserve"> po HBOR-ovim programima „Poduzetništvo mladih, žena i početnika“ i „Investicije privatnog sektora“</w:t>
      </w:r>
      <w:r w:rsidR="00E1758E">
        <w:t xml:space="preserve"> (HBOR-ovi programi)</w:t>
      </w:r>
      <w:r w:rsidR="005827A1" w:rsidRPr="005827A1">
        <w:t>.</w:t>
      </w:r>
    </w:p>
    <w:p w:rsidR="00215055" w:rsidRDefault="00215055" w:rsidP="006C3FA3">
      <w:pPr>
        <w:overflowPunct w:val="0"/>
        <w:autoSpaceDE w:val="0"/>
        <w:ind w:right="-41"/>
        <w:jc w:val="both"/>
      </w:pPr>
    </w:p>
    <w:p w:rsidR="006C3FA3" w:rsidRPr="00E1758E" w:rsidRDefault="006C3FA3" w:rsidP="006C3FA3">
      <w:pPr>
        <w:overflowPunct w:val="0"/>
        <w:autoSpaceDE w:val="0"/>
        <w:ind w:right="-41"/>
        <w:jc w:val="center"/>
      </w:pPr>
      <w:r w:rsidRPr="00E1758E">
        <w:t>II.</w:t>
      </w:r>
    </w:p>
    <w:p w:rsidR="00C74FA7" w:rsidRDefault="00C74FA7" w:rsidP="006C3FA3">
      <w:pPr>
        <w:overflowPunct w:val="0"/>
        <w:autoSpaceDE w:val="0"/>
        <w:ind w:right="-41"/>
        <w:jc w:val="both"/>
      </w:pPr>
    </w:p>
    <w:p w:rsidR="00861C4E" w:rsidRDefault="00C74FA7" w:rsidP="006C3FA3">
      <w:pPr>
        <w:overflowPunct w:val="0"/>
        <w:autoSpaceDE w:val="0"/>
        <w:ind w:right="-41"/>
        <w:jc w:val="both"/>
      </w:pPr>
      <w:r>
        <w:t>Zainteresirani poslov</w:t>
      </w:r>
      <w:r w:rsidR="00861C4E">
        <w:t>ni subjekti privatnog sektora,</w:t>
      </w:r>
      <w:r>
        <w:t xml:space="preserve"> svoje poduzetničke projekte </w:t>
      </w:r>
      <w:r w:rsidR="00861C4E">
        <w:t>mogu realizirati u:</w:t>
      </w:r>
    </w:p>
    <w:p w:rsidR="00C74FA7" w:rsidRDefault="00861C4E" w:rsidP="00861C4E">
      <w:pPr>
        <w:pStyle w:val="Odlomakpopisa"/>
        <w:numPr>
          <w:ilvl w:val="0"/>
          <w:numId w:val="22"/>
        </w:numPr>
        <w:overflowPunct w:val="0"/>
        <w:autoSpaceDE w:val="0"/>
        <w:ind w:right="-41"/>
        <w:jc w:val="both"/>
      </w:pPr>
      <w:r>
        <w:t>Hrvatskoj banci za obnovu i razvoj (HBOR),</w:t>
      </w:r>
    </w:p>
    <w:p w:rsidR="00861C4E" w:rsidRDefault="00861C4E" w:rsidP="00861C4E">
      <w:pPr>
        <w:pStyle w:val="Odlomakpopisa"/>
        <w:numPr>
          <w:ilvl w:val="0"/>
          <w:numId w:val="22"/>
        </w:numPr>
        <w:overflowPunct w:val="0"/>
        <w:autoSpaceDE w:val="0"/>
        <w:ind w:right="-41"/>
        <w:jc w:val="both"/>
      </w:pPr>
      <w:r>
        <w:t>Addiko Bank d.d.,</w:t>
      </w:r>
    </w:p>
    <w:p w:rsidR="00861C4E" w:rsidRDefault="005827A1" w:rsidP="006C3FA3">
      <w:pPr>
        <w:pStyle w:val="Odlomakpopisa"/>
        <w:numPr>
          <w:ilvl w:val="0"/>
          <w:numId w:val="22"/>
        </w:numPr>
        <w:overflowPunct w:val="0"/>
        <w:autoSpaceDE w:val="0"/>
        <w:ind w:right="-41"/>
        <w:jc w:val="both"/>
      </w:pPr>
      <w:r w:rsidRPr="00E1758E">
        <w:t>Erste&amp;steiermärkische Bank d.d.,</w:t>
      </w:r>
      <w:r w:rsidR="00E1758E" w:rsidRPr="00E1758E">
        <w:t xml:space="preserve"> </w:t>
      </w:r>
    </w:p>
    <w:p w:rsidR="00861C4E" w:rsidRDefault="005827A1" w:rsidP="006C3FA3">
      <w:pPr>
        <w:pStyle w:val="Odlomakpopisa"/>
        <w:numPr>
          <w:ilvl w:val="0"/>
          <w:numId w:val="22"/>
        </w:numPr>
        <w:overflowPunct w:val="0"/>
        <w:autoSpaceDE w:val="0"/>
        <w:ind w:right="-41"/>
        <w:jc w:val="both"/>
      </w:pPr>
      <w:r w:rsidRPr="00E1758E">
        <w:t>Podravska banka d.d</w:t>
      </w:r>
      <w:r w:rsidR="00861C4E">
        <w:t>.,</w:t>
      </w:r>
    </w:p>
    <w:p w:rsidR="00E17396" w:rsidRPr="00861C4E" w:rsidRDefault="005827A1" w:rsidP="00215055">
      <w:pPr>
        <w:pStyle w:val="Odlomakpopisa"/>
        <w:numPr>
          <w:ilvl w:val="0"/>
          <w:numId w:val="22"/>
        </w:numPr>
        <w:overflowPunct w:val="0"/>
        <w:autoSpaceDE w:val="0"/>
        <w:ind w:right="-41"/>
        <w:jc w:val="both"/>
      </w:pPr>
      <w:r w:rsidRPr="00E1758E">
        <w:t>Zagrebačka banka d.d.</w:t>
      </w:r>
      <w:r w:rsidR="00215055">
        <w:t>.</w:t>
      </w:r>
    </w:p>
    <w:p w:rsidR="00E17396" w:rsidRDefault="00E17396" w:rsidP="006C3FA3">
      <w:pPr>
        <w:overflowPunct w:val="0"/>
        <w:autoSpaceDE w:val="0"/>
        <w:ind w:right="-41"/>
        <w:jc w:val="both"/>
      </w:pPr>
    </w:p>
    <w:p w:rsidR="00E17396" w:rsidRDefault="00E17396" w:rsidP="006C3FA3">
      <w:pPr>
        <w:overflowPunct w:val="0"/>
        <w:autoSpaceDE w:val="0"/>
        <w:ind w:right="-41"/>
        <w:jc w:val="both"/>
      </w:pPr>
      <w:r>
        <w:t>Ukupni kreditni potencijal Županije iznosi 10.000.000,00 kuna (slovima:desetmilionakuna).</w:t>
      </w:r>
    </w:p>
    <w:p w:rsidR="00E17396" w:rsidRDefault="00E17396" w:rsidP="006C3FA3">
      <w:pPr>
        <w:overflowPunct w:val="0"/>
        <w:autoSpaceDE w:val="0"/>
        <w:ind w:right="-41"/>
        <w:jc w:val="both"/>
      </w:pPr>
    </w:p>
    <w:p w:rsidR="00E17396" w:rsidRDefault="00E17396" w:rsidP="00E17396">
      <w:pPr>
        <w:overflowPunct w:val="0"/>
        <w:autoSpaceDE w:val="0"/>
        <w:ind w:right="-41"/>
        <w:jc w:val="both"/>
      </w:pPr>
      <w:r w:rsidRPr="00704CA4">
        <w:t xml:space="preserve">Županija će za odobrene kredite subvencionirati </w:t>
      </w:r>
      <w:r w:rsidR="00FB7E2E">
        <w:t>kamatnu stopu u visini od 2,00 %</w:t>
      </w:r>
      <w:r w:rsidRPr="00704CA4">
        <w:t xml:space="preserve"> godišnje, fiksno, za cijelo vrijeme trajanja kredita (razdoblje korištenja, počeka i otplate), za što su planirana sredstva u Proračunu Županije za 2020. godinu u iznosu od 200.000,00 kuna (slovima: dvjestotisućakuna).</w:t>
      </w:r>
    </w:p>
    <w:p w:rsidR="00861C4E" w:rsidRPr="00704CA4" w:rsidRDefault="00861C4E" w:rsidP="00E17396">
      <w:pPr>
        <w:overflowPunct w:val="0"/>
        <w:autoSpaceDE w:val="0"/>
        <w:ind w:right="-41"/>
        <w:jc w:val="both"/>
      </w:pPr>
    </w:p>
    <w:p w:rsidR="00E17396" w:rsidRDefault="00E17396" w:rsidP="006C3FA3">
      <w:pPr>
        <w:overflowPunct w:val="0"/>
        <w:autoSpaceDE w:val="0"/>
        <w:ind w:right="-41"/>
        <w:jc w:val="both"/>
      </w:pPr>
      <w:r>
        <w:t xml:space="preserve">U zavisnosti od interesa </w:t>
      </w:r>
      <w:r w:rsidR="00480A05">
        <w:t>poslovnih subjekta privatnog sektora</w:t>
      </w:r>
      <w:r>
        <w:t xml:space="preserve"> subjekata i sredstava za subvenciju planiranih u Proračunu Županije, postoji mogućnost povećanja iznosa kreditnog potencijala</w:t>
      </w:r>
      <w:r w:rsidR="005C33DF">
        <w:t xml:space="preserve"> za dodatnih 10.000.000,00 kuna</w:t>
      </w:r>
      <w:r>
        <w:t>.</w:t>
      </w:r>
    </w:p>
    <w:p w:rsidR="00215055" w:rsidRDefault="00215055" w:rsidP="006C3FA3">
      <w:pPr>
        <w:overflowPunct w:val="0"/>
        <w:autoSpaceDE w:val="0"/>
        <w:ind w:right="-41"/>
        <w:jc w:val="both"/>
      </w:pPr>
    </w:p>
    <w:p w:rsidR="006C3FA3" w:rsidRPr="003F18A5" w:rsidRDefault="006C3FA3" w:rsidP="006C3FA3">
      <w:pPr>
        <w:overflowPunct w:val="0"/>
        <w:autoSpaceDE w:val="0"/>
        <w:ind w:right="-41"/>
        <w:jc w:val="center"/>
      </w:pPr>
      <w:r w:rsidRPr="003F18A5">
        <w:t>III.</w:t>
      </w:r>
    </w:p>
    <w:p w:rsidR="006C3FA3" w:rsidRPr="003F18A5" w:rsidRDefault="006C3FA3" w:rsidP="006C3FA3">
      <w:pPr>
        <w:overflowPunct w:val="0"/>
        <w:autoSpaceDE w:val="0"/>
        <w:ind w:right="-41"/>
        <w:jc w:val="center"/>
      </w:pPr>
    </w:p>
    <w:p w:rsidR="00E1758E" w:rsidRPr="003F18A5" w:rsidRDefault="00E1758E" w:rsidP="006C3FA3">
      <w:pPr>
        <w:overflowPunct w:val="0"/>
        <w:autoSpaceDE w:val="0"/>
        <w:ind w:right="-41"/>
        <w:jc w:val="both"/>
      </w:pPr>
      <w:r w:rsidRPr="003F18A5">
        <w:t>Krediti će se odobravati prihvatljivim korisnicima za prihvatljive projekte te uz uvjete definirane HBOR-ovim programima važećim na dan donošenja odluke o odobrenju kredita, za ulaganja u slijedeće djelatnosti prema NKD-u 2007.:</w:t>
      </w:r>
    </w:p>
    <w:p w:rsidR="00E1758E" w:rsidRPr="003F18A5" w:rsidRDefault="00E1758E" w:rsidP="006C3FA3">
      <w:pPr>
        <w:overflowPunct w:val="0"/>
        <w:autoSpaceDE w:val="0"/>
        <w:ind w:right="-41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7"/>
        <w:gridCol w:w="6260"/>
        <w:gridCol w:w="1531"/>
      </w:tblGrid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PODRUČJE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NAZIV PODRUČJA / DJELATNOSTI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RAZRED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 xml:space="preserve">C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Prerađivačka industrija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sve djelatnosti prerađivačke industrije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10.1 – 33.2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lastRenderedPageBreak/>
              <w:t>D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Opskrba električnom energijom, plinom, parom i klimatizacija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proizvodnja električne energije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35.11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Opskrba vodom, uklanjanje otpadnih voda, gospodarenje otpadom te djelatnosti sanacije okoliša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skupljanje neopasnog otpada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38.11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obrada i zbrinjavanje neopasnog otpada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38.21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rastavljanje olupina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38.31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Građevinarstvo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elektroinstalacijski radovi, uvođenje instalacija vodovoda, kanalizacije i plina i ostali građevinski instalacijski radovi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43.2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završni građevinski radovi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43.3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Trgovina na veliko i malo; popravak motornih vozila i motocikla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održavanje i popravak motornih vozila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45.2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Djelatnosti pružanja smještaja te priprema i usluživanje hrane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hoteli i sličan smještaj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55.1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odmarališta i slični objekti za kraći odmor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55.2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kampovi i prostori za kampiranje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55.3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restorana i ostalih objekata za pripremu i usluživanje hrane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56.1</w:t>
            </w:r>
          </w:p>
        </w:tc>
      </w:tr>
      <w:tr w:rsidR="006E607B" w:rsidRPr="0008628D" w:rsidTr="00BD1B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keteringa i ostale djelatnosti pripreme i usluživanja hrane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56.2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Informacije i komunikacije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računalno programiranje, savjetovanje i djelatnosti povezane s njima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62.0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Djelatnosti zdravstvene zaštite i socijalne skrbi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medicinske i stomatološke prakse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86.2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ostale djelatnosti zdravstvene zaštite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86.9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ustanova za njegu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87.1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socijalne skrbi sa smještajem za osobe s teškoćama u razvoju, duševno bolesne osobe i osobe ovisne o alkoholu, drogama ili drugim opojnim sredstvima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87.2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djelatnosti socijalne skrbi sa smještajem za starije osobe i osobe s invaliditetom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87.3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  <w:r w:rsidRPr="0008628D">
              <w:rPr>
                <w:rFonts w:ascii="Arial" w:hAnsi="Arial" w:cs="Arial"/>
                <w:sz w:val="20"/>
              </w:rPr>
              <w:t>Ostale uslužne djelatnosti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popravak računala i komunikacijske opreme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95.1</w:t>
            </w:r>
          </w:p>
        </w:tc>
      </w:tr>
      <w:tr w:rsidR="006E607B" w:rsidRPr="0008628D" w:rsidTr="00BD1B01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popravak predmeta za osobu uporabu i kućanstvo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7B" w:rsidRPr="0008628D" w:rsidRDefault="006E607B" w:rsidP="00BD1B01">
            <w:pPr>
              <w:pStyle w:val="Odlomakpopisa"/>
              <w:ind w:left="0"/>
              <w:rPr>
                <w:rFonts w:ascii="Arial" w:hAnsi="Arial" w:cs="Arial"/>
                <w:b/>
                <w:sz w:val="20"/>
              </w:rPr>
            </w:pPr>
            <w:r w:rsidRPr="0008628D">
              <w:rPr>
                <w:rFonts w:ascii="Arial" w:hAnsi="Arial" w:cs="Arial"/>
                <w:b/>
                <w:sz w:val="20"/>
              </w:rPr>
              <w:t>95.2</w:t>
            </w:r>
          </w:p>
        </w:tc>
      </w:tr>
    </w:tbl>
    <w:p w:rsidR="00BF53AF" w:rsidRDefault="00BF53AF" w:rsidP="006C3FA3">
      <w:pPr>
        <w:overflowPunct w:val="0"/>
        <w:autoSpaceDE w:val="0"/>
        <w:ind w:right="-41"/>
        <w:jc w:val="both"/>
      </w:pPr>
    </w:p>
    <w:p w:rsidR="003F18A5" w:rsidRPr="003F18A5" w:rsidRDefault="0062473B" w:rsidP="006C3FA3">
      <w:pPr>
        <w:overflowPunct w:val="0"/>
        <w:autoSpaceDE w:val="0"/>
        <w:ind w:right="-41"/>
        <w:jc w:val="both"/>
      </w:pPr>
      <w:r w:rsidRPr="003F18A5">
        <w:t>Refundiranje vlastitih ulaganja korisnika kredita i refinanciranje postojećih kredita nije dozvoljeno.</w:t>
      </w:r>
    </w:p>
    <w:p w:rsidR="00FB7E2E" w:rsidRDefault="006C3FA3" w:rsidP="006C3FA3">
      <w:pPr>
        <w:overflowPunct w:val="0"/>
        <w:autoSpaceDE w:val="0"/>
        <w:ind w:right="-41"/>
        <w:jc w:val="both"/>
        <w:rPr>
          <w:color w:val="FF0000"/>
        </w:rPr>
      </w:pPr>
      <w:r w:rsidRPr="00BC3423">
        <w:rPr>
          <w:color w:val="FF0000"/>
        </w:rPr>
        <w:tab/>
      </w:r>
    </w:p>
    <w:p w:rsidR="00DC53B6" w:rsidRDefault="00DC53B6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3F18A5" w:rsidRDefault="003F18A5" w:rsidP="003F18A5">
      <w:pPr>
        <w:overflowPunct w:val="0"/>
        <w:autoSpaceDE w:val="0"/>
        <w:ind w:right="-41"/>
        <w:jc w:val="center"/>
      </w:pPr>
      <w:r w:rsidRPr="00B932F4">
        <w:t>IV.</w:t>
      </w:r>
    </w:p>
    <w:p w:rsidR="00704CA4" w:rsidRDefault="00704CA4" w:rsidP="00704CA4">
      <w:pPr>
        <w:overflowPunct w:val="0"/>
        <w:autoSpaceDE w:val="0"/>
        <w:ind w:right="-41"/>
        <w:jc w:val="both"/>
      </w:pPr>
    </w:p>
    <w:p w:rsidR="000611AC" w:rsidRPr="001A002A" w:rsidRDefault="000611AC" w:rsidP="000611AC">
      <w:pPr>
        <w:overflowPunct w:val="0"/>
        <w:autoSpaceDE w:val="0"/>
        <w:ind w:right="-41"/>
        <w:jc w:val="center"/>
        <w:rPr>
          <w:u w:val="single"/>
        </w:rPr>
      </w:pPr>
      <w:r w:rsidRPr="00B932F4">
        <w:rPr>
          <w:b/>
          <w:u w:val="single"/>
        </w:rPr>
        <w:t>P</w:t>
      </w:r>
      <w:r w:rsidR="00C22994" w:rsidRPr="00B932F4">
        <w:rPr>
          <w:b/>
          <w:u w:val="single"/>
        </w:rPr>
        <w:t>rogram „Poduzetništvo mladih, žena i početnika“</w:t>
      </w:r>
    </w:p>
    <w:p w:rsidR="000611AC" w:rsidRDefault="000611AC" w:rsidP="003F18A5">
      <w:pPr>
        <w:overflowPunct w:val="0"/>
        <w:autoSpaceDE w:val="0"/>
        <w:ind w:right="-41"/>
        <w:jc w:val="both"/>
      </w:pPr>
    </w:p>
    <w:p w:rsidR="00044102" w:rsidRPr="00B932F4" w:rsidRDefault="00044102" w:rsidP="003F18A5">
      <w:pPr>
        <w:overflowPunct w:val="0"/>
        <w:autoSpaceDE w:val="0"/>
        <w:ind w:right="-41"/>
        <w:jc w:val="both"/>
      </w:pPr>
    </w:p>
    <w:p w:rsidR="00CA55F9" w:rsidRDefault="00CA55F9" w:rsidP="003F18A5">
      <w:pPr>
        <w:overflowPunct w:val="0"/>
        <w:autoSpaceDE w:val="0"/>
        <w:ind w:right="-41"/>
        <w:jc w:val="both"/>
        <w:rPr>
          <w:b/>
        </w:rPr>
      </w:pPr>
      <w:r>
        <w:rPr>
          <w:b/>
        </w:rPr>
        <w:t>Korisnici kredita</w:t>
      </w:r>
    </w:p>
    <w:p w:rsidR="00044102" w:rsidRDefault="00044102" w:rsidP="003F18A5">
      <w:pPr>
        <w:overflowPunct w:val="0"/>
        <w:autoSpaceDE w:val="0"/>
        <w:ind w:right="-41"/>
        <w:jc w:val="both"/>
        <w:rPr>
          <w:b/>
        </w:rPr>
      </w:pPr>
    </w:p>
    <w:p w:rsidR="00CA55F9" w:rsidRDefault="00CA55F9" w:rsidP="00CA55F9">
      <w:pPr>
        <w:pStyle w:val="Odlomakpopisa"/>
        <w:numPr>
          <w:ilvl w:val="0"/>
          <w:numId w:val="23"/>
        </w:numPr>
        <w:overflowPunct w:val="0"/>
        <w:autoSpaceDE w:val="0"/>
        <w:ind w:right="-41"/>
        <w:jc w:val="both"/>
      </w:pPr>
      <w:r>
        <w:t>Poslovni subjekti privatnog sektora – trgovačkog društva, obrtnici, fizičke osobe koje samostalno obavljaju djelatnost, obiteljska poljoprivredna gospodarstva, zadruge i ustanove, koji su mladi poduzetnici, poduzetnici početnici i žene poduzetnice.</w:t>
      </w:r>
    </w:p>
    <w:p w:rsidR="00CA55F9" w:rsidRDefault="00CA55F9" w:rsidP="00CA55F9">
      <w:pPr>
        <w:pStyle w:val="Odlomakpopisa"/>
        <w:overflowPunct w:val="0"/>
        <w:autoSpaceDE w:val="0"/>
        <w:ind w:right="-41"/>
        <w:jc w:val="both"/>
      </w:pPr>
    </w:p>
    <w:p w:rsidR="00CA55F9" w:rsidRDefault="00CA55F9" w:rsidP="00CA55F9">
      <w:pPr>
        <w:overflowPunct w:val="0"/>
        <w:autoSpaceDE w:val="0"/>
        <w:ind w:right="-41"/>
        <w:jc w:val="both"/>
      </w:pPr>
      <w:r w:rsidRPr="0062473B">
        <w:rPr>
          <w:u w:val="single"/>
        </w:rPr>
        <w:t xml:space="preserve">Mladi poduzetnici </w:t>
      </w:r>
      <w:r>
        <w:t>su poslovni subjekti u kojima najmanje jedna ili više mladih osoba (u dobnoj skupini do navršenih 40 godina života u trenutku podnošenja zahtjeva za kredit) zajedno posjeduju više od 50% vlasništva.</w:t>
      </w:r>
    </w:p>
    <w:p w:rsidR="00CA55F9" w:rsidRDefault="00CA55F9" w:rsidP="00CA55F9">
      <w:pPr>
        <w:overflowPunct w:val="0"/>
        <w:autoSpaceDE w:val="0"/>
        <w:ind w:right="-41"/>
        <w:jc w:val="both"/>
      </w:pPr>
    </w:p>
    <w:p w:rsidR="00CA55F9" w:rsidRDefault="00CA55F9" w:rsidP="00CA55F9">
      <w:pPr>
        <w:overflowPunct w:val="0"/>
        <w:autoSpaceDE w:val="0"/>
        <w:ind w:right="-41"/>
        <w:jc w:val="both"/>
      </w:pPr>
      <w:r>
        <w:rPr>
          <w:u w:val="single"/>
        </w:rPr>
        <w:t>Žene poduzetnice</w:t>
      </w:r>
      <w:r>
        <w:t xml:space="preserve"> su poslovni subjekti u kojima najmanje jedna ili više žena zajedno posjeduju više od 50% vlasništva i kojima ujedno upravlja žena. U slučaju poduzeća koje nije mikro ili malo, žena </w:t>
      </w:r>
      <w:r>
        <w:lastRenderedPageBreak/>
        <w:t>ili žene zajedno mogu imati i manje od 50% vlasništva uz uvjet da je najmanje jedna žena na nekoj od ključnih upravljačkih pozicija vezanoj za financije i/ili operativne poslove i/ili strategiju.</w:t>
      </w:r>
    </w:p>
    <w:p w:rsidR="00CA55F9" w:rsidRDefault="00CA55F9" w:rsidP="00CA55F9">
      <w:pPr>
        <w:overflowPunct w:val="0"/>
        <w:autoSpaceDE w:val="0"/>
        <w:ind w:right="-41"/>
        <w:jc w:val="both"/>
      </w:pPr>
    </w:p>
    <w:p w:rsidR="00CA55F9" w:rsidRPr="005827A1" w:rsidRDefault="00CA55F9" w:rsidP="00CA55F9">
      <w:pPr>
        <w:overflowPunct w:val="0"/>
        <w:autoSpaceDE w:val="0"/>
        <w:ind w:right="-41"/>
        <w:jc w:val="both"/>
      </w:pPr>
      <w:r>
        <w:rPr>
          <w:u w:val="single"/>
        </w:rPr>
        <w:t>Poduzetnici početnici</w:t>
      </w:r>
      <w:r>
        <w:t xml:space="preserve"> su poduzetnici koji po prvi put osnivaju poslovni subjekt ili poslovni subjekt mikro, malog i srednjeg poduzetništva koji posluju kraće od 2 (dvije) godine u trenutku podnošenja zahtjeva za kredit. Poduzetnici početnici nisu ranije bili niti su trenutno vlasnici ili suvlasnici drugog poslovnog subjekta s udjelom većim od 30%.</w:t>
      </w:r>
    </w:p>
    <w:p w:rsidR="00CA55F9" w:rsidRDefault="00CA55F9" w:rsidP="003F18A5">
      <w:pPr>
        <w:overflowPunct w:val="0"/>
        <w:autoSpaceDE w:val="0"/>
        <w:ind w:right="-41"/>
        <w:jc w:val="both"/>
        <w:rPr>
          <w:b/>
        </w:rPr>
      </w:pPr>
    </w:p>
    <w:p w:rsidR="00B932F4" w:rsidRPr="00B932F4" w:rsidRDefault="000611AC" w:rsidP="003F18A5">
      <w:pPr>
        <w:overflowPunct w:val="0"/>
        <w:autoSpaceDE w:val="0"/>
        <w:ind w:right="-41"/>
        <w:jc w:val="both"/>
      </w:pPr>
      <w:r w:rsidRPr="00B932F4">
        <w:rPr>
          <w:b/>
        </w:rPr>
        <w:t xml:space="preserve">Namjena </w:t>
      </w:r>
      <w:r w:rsidR="00C22994" w:rsidRPr="00B932F4">
        <w:rPr>
          <w:b/>
        </w:rPr>
        <w:t>k</w:t>
      </w:r>
      <w:r w:rsidR="003F18A5" w:rsidRPr="00B932F4">
        <w:rPr>
          <w:b/>
        </w:rPr>
        <w:t>redita</w:t>
      </w:r>
      <w:r w:rsidRPr="00B932F4">
        <w:t xml:space="preserve"> </w:t>
      </w:r>
    </w:p>
    <w:p w:rsidR="00B932F4" w:rsidRPr="00B932F4" w:rsidRDefault="000611AC" w:rsidP="00B932F4">
      <w:pPr>
        <w:pStyle w:val="Odlomakpopisa"/>
        <w:numPr>
          <w:ilvl w:val="0"/>
          <w:numId w:val="3"/>
        </w:numPr>
        <w:overflowPunct w:val="0"/>
        <w:autoSpaceDE w:val="0"/>
        <w:ind w:right="-41"/>
        <w:jc w:val="both"/>
      </w:pPr>
      <w:r w:rsidRPr="00B932F4">
        <w:t>u</w:t>
      </w:r>
      <w:r w:rsidR="003F18A5" w:rsidRPr="00B932F4">
        <w:t>laganja u osnovna sredstva (materijalnu i nematerijalnu imovinu) s ciljem pokretanja poslovanja, uvođenja novih tehnologija, povećanja kapaciteta, uključujući i turističke, razvoja i uvođenja novih proizvoda ili usluga, poticanja novog zapošljavanja</w:t>
      </w:r>
      <w:r w:rsidR="00C22994" w:rsidRPr="00B932F4">
        <w:t xml:space="preserve"> i sl.,</w:t>
      </w:r>
      <w:r w:rsidR="003F18A5" w:rsidRPr="00B932F4">
        <w:t xml:space="preserve"> </w:t>
      </w:r>
    </w:p>
    <w:p w:rsidR="003F18A5" w:rsidRPr="00B932F4" w:rsidRDefault="00C22994" w:rsidP="00B932F4">
      <w:pPr>
        <w:pStyle w:val="Odlomakpopisa"/>
        <w:numPr>
          <w:ilvl w:val="0"/>
          <w:numId w:val="3"/>
        </w:numPr>
        <w:overflowPunct w:val="0"/>
        <w:autoSpaceDE w:val="0"/>
        <w:ind w:right="-41"/>
        <w:jc w:val="both"/>
      </w:pPr>
      <w:r w:rsidRPr="00B932F4">
        <w:t>za</w:t>
      </w:r>
      <w:r w:rsidR="003F18A5" w:rsidRPr="00B932F4">
        <w:t xml:space="preserve"> obrtna sredstva najviše do 30 % ugovorenog iznosa kredita.</w:t>
      </w:r>
    </w:p>
    <w:p w:rsidR="00C22994" w:rsidRPr="00B932F4" w:rsidRDefault="00C22994" w:rsidP="003F18A5">
      <w:pPr>
        <w:overflowPunct w:val="0"/>
        <w:autoSpaceDE w:val="0"/>
        <w:ind w:right="-41"/>
        <w:jc w:val="both"/>
      </w:pPr>
    </w:p>
    <w:p w:rsidR="00B932F4" w:rsidRPr="00B932F4" w:rsidRDefault="000611AC" w:rsidP="003F18A5">
      <w:pPr>
        <w:overflowPunct w:val="0"/>
        <w:autoSpaceDE w:val="0"/>
        <w:ind w:right="-41"/>
        <w:jc w:val="both"/>
        <w:rPr>
          <w:b/>
        </w:rPr>
      </w:pPr>
      <w:r w:rsidRPr="00B932F4">
        <w:rPr>
          <w:b/>
        </w:rPr>
        <w:t>I</w:t>
      </w:r>
      <w:r w:rsidR="00C22994" w:rsidRPr="00B932F4">
        <w:rPr>
          <w:b/>
        </w:rPr>
        <w:t>znos kredita</w:t>
      </w:r>
      <w:r w:rsidRPr="00B932F4">
        <w:rPr>
          <w:b/>
        </w:rPr>
        <w:t xml:space="preserve"> </w:t>
      </w:r>
    </w:p>
    <w:p w:rsidR="000611AC" w:rsidRPr="00B932F4" w:rsidRDefault="000611AC" w:rsidP="00B932F4">
      <w:pPr>
        <w:pStyle w:val="Odlomakpopisa"/>
        <w:numPr>
          <w:ilvl w:val="0"/>
          <w:numId w:val="4"/>
        </w:numPr>
        <w:overflowPunct w:val="0"/>
        <w:autoSpaceDE w:val="0"/>
        <w:ind w:right="-41"/>
        <w:jc w:val="both"/>
      </w:pPr>
      <w:r w:rsidRPr="00B932F4">
        <w:t>pravilu se ne odobravaju krediti u iznosu nižem od 200.000,00 kuna</w:t>
      </w:r>
      <w:r w:rsidR="003A06ED" w:rsidRPr="00B932F4">
        <w:t>,</w:t>
      </w:r>
    </w:p>
    <w:p w:rsidR="003A06ED" w:rsidRDefault="00C22994" w:rsidP="00B932F4">
      <w:pPr>
        <w:pStyle w:val="Odlomakpopisa"/>
        <w:numPr>
          <w:ilvl w:val="0"/>
          <w:numId w:val="4"/>
        </w:numPr>
        <w:overflowPunct w:val="0"/>
        <w:autoSpaceDE w:val="0"/>
        <w:ind w:right="-41"/>
        <w:jc w:val="both"/>
      </w:pPr>
      <w:r w:rsidRPr="00B932F4">
        <w:t xml:space="preserve">najviši </w:t>
      </w:r>
      <w:r w:rsidR="003A06ED" w:rsidRPr="00B932F4">
        <w:t xml:space="preserve">iznos kredita iznosi </w:t>
      </w:r>
      <w:r w:rsidRPr="00B932F4">
        <w:t xml:space="preserve">2.000.000,00 kuna, ovisno o specifičnostima i kreditnoj </w:t>
      </w:r>
      <w:r w:rsidR="00B932F4" w:rsidRPr="00B932F4">
        <w:t>sposobnosti korisnika kredita te namjeni i strukturi ulaganja, pri čemu se može kreditirati do 85% predračunske vrijednosti investicije bez PDV-a,</w:t>
      </w:r>
    </w:p>
    <w:p w:rsidR="00512B13" w:rsidRPr="00B932F4" w:rsidRDefault="00512B13" w:rsidP="00B932F4">
      <w:pPr>
        <w:pStyle w:val="Odlomakpopisa"/>
        <w:numPr>
          <w:ilvl w:val="0"/>
          <w:numId w:val="4"/>
        </w:numPr>
        <w:overflowPunct w:val="0"/>
        <w:autoSpaceDE w:val="0"/>
        <w:ind w:right="-41"/>
        <w:jc w:val="both"/>
      </w:pPr>
      <w:r>
        <w:t>HBOR/poslovna banka može razmotriti kreditiranje 100% predračunske vrijednosti s PDV-om ako korisnik kredita isporučuje dobra ili obavlja usluge koje su izuzete od obračunavanja PDV-a ili za korisnike kredita koji ne posluju u sustavu PDV-a,</w:t>
      </w:r>
    </w:p>
    <w:p w:rsidR="003A06ED" w:rsidRPr="00B932F4" w:rsidRDefault="003A06ED" w:rsidP="00B932F4">
      <w:pPr>
        <w:pStyle w:val="Odlomakpopisa"/>
        <w:numPr>
          <w:ilvl w:val="0"/>
          <w:numId w:val="4"/>
        </w:numPr>
        <w:overflowPunct w:val="0"/>
        <w:autoSpaceDE w:val="0"/>
        <w:ind w:right="-41"/>
        <w:jc w:val="both"/>
      </w:pPr>
      <w:r w:rsidRPr="00B932F4">
        <w:t>ovisno o specifičnostima i kreditnoj sposobnosti korisnika kredita i namjeni i             strukturi</w:t>
      </w:r>
      <w:r w:rsidR="00B932F4" w:rsidRPr="00B932F4">
        <w:t xml:space="preserve"> ulaganja, za kredite u iznosu do 700.000,00 kuna moguće je kreditiranje do 100% predračunske vrijednosti investicije bez PDV-a.</w:t>
      </w:r>
    </w:p>
    <w:p w:rsidR="00B932F4" w:rsidRPr="00B932F4" w:rsidRDefault="00B932F4" w:rsidP="00B932F4">
      <w:pPr>
        <w:pStyle w:val="Odlomakpopisa"/>
        <w:overflowPunct w:val="0"/>
        <w:autoSpaceDE w:val="0"/>
        <w:ind w:left="789" w:right="-41"/>
        <w:jc w:val="both"/>
      </w:pPr>
    </w:p>
    <w:p w:rsidR="00B932F4" w:rsidRPr="00B932F4" w:rsidRDefault="00B932F4" w:rsidP="00B932F4">
      <w:pPr>
        <w:pStyle w:val="Odlomakpopisa"/>
        <w:overflowPunct w:val="0"/>
        <w:autoSpaceDE w:val="0"/>
        <w:ind w:left="0" w:right="-41"/>
        <w:jc w:val="both"/>
        <w:rPr>
          <w:b/>
        </w:rPr>
      </w:pPr>
      <w:r w:rsidRPr="00B932F4">
        <w:rPr>
          <w:b/>
        </w:rPr>
        <w:t>Valuta kredita</w:t>
      </w:r>
    </w:p>
    <w:p w:rsidR="00CA55F9" w:rsidRDefault="00CA55F9" w:rsidP="00CA55F9">
      <w:pPr>
        <w:pStyle w:val="Odlomakpopisa"/>
        <w:overflowPunct w:val="0"/>
        <w:autoSpaceDE w:val="0"/>
        <w:ind w:right="-41"/>
        <w:jc w:val="both"/>
      </w:pPr>
      <w:r>
        <w:t>Prema izboru korisnika kredita:</w:t>
      </w:r>
    </w:p>
    <w:p w:rsidR="00B932F4" w:rsidRPr="00B932F4" w:rsidRDefault="00B932F4" w:rsidP="00B932F4">
      <w:pPr>
        <w:pStyle w:val="Odlomakpopisa"/>
        <w:numPr>
          <w:ilvl w:val="0"/>
          <w:numId w:val="5"/>
        </w:numPr>
        <w:overflowPunct w:val="0"/>
        <w:autoSpaceDE w:val="0"/>
        <w:ind w:right="-41"/>
        <w:jc w:val="both"/>
      </w:pPr>
      <w:r w:rsidRPr="00B932F4">
        <w:t>kunski kredit,</w:t>
      </w:r>
    </w:p>
    <w:p w:rsidR="00B932F4" w:rsidRPr="00B932F4" w:rsidRDefault="00B932F4" w:rsidP="00B932F4">
      <w:pPr>
        <w:pStyle w:val="Odlomakpopisa"/>
        <w:numPr>
          <w:ilvl w:val="0"/>
          <w:numId w:val="5"/>
        </w:numPr>
        <w:overflowPunct w:val="0"/>
        <w:autoSpaceDE w:val="0"/>
        <w:ind w:right="-41"/>
        <w:jc w:val="both"/>
      </w:pPr>
      <w:r w:rsidRPr="00B932F4">
        <w:t>kunski kredit uz valutnu klauzulu vezanu za EUR.</w:t>
      </w:r>
    </w:p>
    <w:p w:rsidR="00B932F4" w:rsidRPr="00B932F4" w:rsidRDefault="00B932F4" w:rsidP="00B932F4">
      <w:pPr>
        <w:pStyle w:val="Odlomakpopisa"/>
        <w:overflowPunct w:val="0"/>
        <w:autoSpaceDE w:val="0"/>
        <w:ind w:right="-41"/>
        <w:jc w:val="both"/>
      </w:pPr>
    </w:p>
    <w:p w:rsidR="00B932F4" w:rsidRPr="00B932F4" w:rsidRDefault="00B932F4" w:rsidP="00B932F4">
      <w:pPr>
        <w:pStyle w:val="Odlomakpopisa"/>
        <w:overflowPunct w:val="0"/>
        <w:autoSpaceDE w:val="0"/>
        <w:ind w:left="0" w:right="-41"/>
        <w:jc w:val="both"/>
        <w:rPr>
          <w:b/>
        </w:rPr>
      </w:pPr>
      <w:r w:rsidRPr="00B932F4">
        <w:rPr>
          <w:b/>
        </w:rPr>
        <w:t>Kamatna stopa</w:t>
      </w:r>
    </w:p>
    <w:p w:rsidR="00B932F4" w:rsidRDefault="00B56D53" w:rsidP="00B932F4">
      <w:pPr>
        <w:pStyle w:val="Odlomakpopisa"/>
        <w:numPr>
          <w:ilvl w:val="0"/>
          <w:numId w:val="6"/>
        </w:numPr>
        <w:overflowPunct w:val="0"/>
        <w:autoSpaceDE w:val="0"/>
        <w:ind w:right="-41"/>
        <w:jc w:val="both"/>
      </w:pPr>
      <w:r>
        <w:t>2,00% godišnje, fiksna.</w:t>
      </w:r>
    </w:p>
    <w:p w:rsidR="00A4723E" w:rsidRPr="00B932F4" w:rsidRDefault="00A4723E" w:rsidP="00A4723E">
      <w:pPr>
        <w:pStyle w:val="Odlomakpopisa"/>
        <w:overflowPunct w:val="0"/>
        <w:autoSpaceDE w:val="0"/>
        <w:ind w:right="-41"/>
        <w:jc w:val="both"/>
      </w:pPr>
      <w:r>
        <w:t>U određenim slučajevima kamatna stopa može biti viša ovisno o propisima o dodjeli državnih potpora i/ili potpora male vrijednosti.</w:t>
      </w:r>
    </w:p>
    <w:p w:rsidR="00B932F4" w:rsidRDefault="00B932F4" w:rsidP="00B932F4">
      <w:pPr>
        <w:pStyle w:val="Odlomakpopisa"/>
        <w:overflowPunct w:val="0"/>
        <w:autoSpaceDE w:val="0"/>
        <w:ind w:right="-41"/>
        <w:jc w:val="both"/>
        <w:rPr>
          <w:color w:val="FF0000"/>
        </w:rPr>
      </w:pPr>
    </w:p>
    <w:p w:rsidR="00B932F4" w:rsidRDefault="00B932F4" w:rsidP="00B932F4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Naknade</w:t>
      </w:r>
    </w:p>
    <w:p w:rsidR="00B932F4" w:rsidRDefault="00B932F4" w:rsidP="00B932F4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promjenjive, u skladu s Odlukom o naknadama za usluge koje obavlja HBOR važećom na dan obračuna:</w:t>
      </w:r>
    </w:p>
    <w:p w:rsidR="00B932F4" w:rsidRDefault="00B932F4" w:rsidP="00B932F4">
      <w:pPr>
        <w:pStyle w:val="Odlomakpopisa"/>
        <w:numPr>
          <w:ilvl w:val="0"/>
          <w:numId w:val="8"/>
        </w:numPr>
        <w:overflowPunct w:val="0"/>
        <w:autoSpaceDE w:val="0"/>
        <w:ind w:right="-41"/>
        <w:jc w:val="both"/>
      </w:pPr>
      <w:r>
        <w:t>za obradu kreditnog zahtjeva: 0,50% od ugovorenog iznosa kredita,</w:t>
      </w:r>
    </w:p>
    <w:p w:rsidR="00B932F4" w:rsidRDefault="00B932F4" w:rsidP="00B932F4">
      <w:pPr>
        <w:pStyle w:val="Odlomakpopisa"/>
        <w:numPr>
          <w:ilvl w:val="0"/>
          <w:numId w:val="8"/>
        </w:numPr>
        <w:overflowPunct w:val="0"/>
        <w:autoSpaceDE w:val="0"/>
        <w:ind w:right="-41"/>
        <w:jc w:val="both"/>
      </w:pPr>
      <w:r>
        <w:t>za rezervaciju sredstava: 0,25% od ugovorenog, a neiskorištenog iznosa kredita,</w:t>
      </w:r>
    </w:p>
    <w:p w:rsidR="00B932F4" w:rsidRDefault="00B932F4" w:rsidP="00C8507D">
      <w:pPr>
        <w:pStyle w:val="Odlomakpopisa"/>
        <w:overflowPunct w:val="0"/>
        <w:autoSpaceDE w:val="0"/>
        <w:ind w:right="-41"/>
        <w:jc w:val="both"/>
      </w:pPr>
      <w:r>
        <w:t>te ostale naknade u skladu s Odlukom o naknadama za usluge koje obavlja HBOR važećom na dan obračuna.</w:t>
      </w:r>
    </w:p>
    <w:p w:rsidR="00B932F4" w:rsidRDefault="00B932F4" w:rsidP="00B932F4">
      <w:pPr>
        <w:pStyle w:val="Odlomakpopisa"/>
        <w:overflowPunct w:val="0"/>
        <w:autoSpaceDE w:val="0"/>
        <w:ind w:right="-41"/>
        <w:jc w:val="both"/>
      </w:pPr>
    </w:p>
    <w:p w:rsidR="00B932F4" w:rsidRDefault="00B932F4" w:rsidP="00B932F4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Rok i način korištenja kredita</w:t>
      </w:r>
    </w:p>
    <w:p w:rsidR="0032095D" w:rsidRDefault="00B932F4" w:rsidP="0032095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rok korištenja je u pravilu do 12 mjeseci. Ovisno o namjeni i dinamici ulaganja, moguće je odobriti i dulji rok korištenja kredit</w:t>
      </w:r>
      <w:r w:rsidR="0032095D">
        <w:t>a.</w:t>
      </w:r>
    </w:p>
    <w:p w:rsidR="0032095D" w:rsidRDefault="0032095D" w:rsidP="0032095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dio kredita namijenjen za financiranje osnovnih sredstava koristi se isplatom na račun prodavatelja/dobavljača/izvođača radova, na temelju dokumentacije za namjensko korištenje kredita,</w:t>
      </w:r>
    </w:p>
    <w:p w:rsidR="0032095D" w:rsidRDefault="0032095D" w:rsidP="0032095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lastRenderedPageBreak/>
        <w:t>dio kredita namijenjen za financiranje obrtnih sredstava može se isplatiti na račun korisnika kredita, uz obavezno pravdanje dokumentacijom kojom se dokazuje namjensko korištenje kredita.</w:t>
      </w:r>
    </w:p>
    <w:p w:rsidR="0032095D" w:rsidRDefault="0032095D" w:rsidP="0032095D">
      <w:pPr>
        <w:overflowPunct w:val="0"/>
        <w:autoSpaceDE w:val="0"/>
        <w:ind w:right="-41"/>
        <w:jc w:val="both"/>
      </w:pPr>
    </w:p>
    <w:p w:rsidR="0032095D" w:rsidRDefault="0032095D" w:rsidP="0032095D">
      <w:pPr>
        <w:overflowPunct w:val="0"/>
        <w:autoSpaceDE w:val="0"/>
        <w:ind w:right="-41"/>
        <w:jc w:val="both"/>
        <w:rPr>
          <w:b/>
        </w:rPr>
      </w:pPr>
      <w:r>
        <w:rPr>
          <w:b/>
        </w:rPr>
        <w:t>Rok otplate</w:t>
      </w:r>
    </w:p>
    <w:p w:rsidR="0032095D" w:rsidRDefault="0032095D" w:rsidP="0032095D">
      <w:pPr>
        <w:pStyle w:val="Odlomakpopisa"/>
        <w:numPr>
          <w:ilvl w:val="0"/>
          <w:numId w:val="9"/>
        </w:numPr>
        <w:overflowPunct w:val="0"/>
        <w:autoSpaceDE w:val="0"/>
        <w:ind w:right="-41"/>
        <w:jc w:val="both"/>
      </w:pPr>
      <w:r>
        <w:t>ovisno o namjeni i strukturi ulaganja, do 12 godina, uključujući poček do 3 godine</w:t>
      </w:r>
      <w:r w:rsidR="00FB7E2E">
        <w:t>,</w:t>
      </w:r>
    </w:p>
    <w:p w:rsidR="0032095D" w:rsidRDefault="0032095D" w:rsidP="0032095D">
      <w:pPr>
        <w:pStyle w:val="Odlomakpopisa"/>
        <w:numPr>
          <w:ilvl w:val="0"/>
          <w:numId w:val="9"/>
        </w:numPr>
        <w:overflowPunct w:val="0"/>
        <w:autoSpaceDE w:val="0"/>
        <w:ind w:right="-41"/>
        <w:jc w:val="both"/>
      </w:pPr>
      <w:r>
        <w:t>iznimno od navedenog, ovisno o namjeni i strukturi ulaganja, moguće je odobriti rokove otplate i počeka:</w:t>
      </w:r>
    </w:p>
    <w:p w:rsidR="0032095D" w:rsidRDefault="0032095D" w:rsidP="0032095D">
      <w:pPr>
        <w:pStyle w:val="Odlomakpopisa"/>
        <w:numPr>
          <w:ilvl w:val="0"/>
          <w:numId w:val="10"/>
        </w:numPr>
        <w:overflowPunct w:val="0"/>
        <w:autoSpaceDE w:val="0"/>
        <w:ind w:right="-41"/>
        <w:jc w:val="both"/>
      </w:pPr>
      <w:r>
        <w:t>za ulaganja u turizam ili ako investicijska studija ukazuje na potrebu za duljom ročnosti i/ili počekom: do 14 godina, uključujući poček do 4 godine.</w:t>
      </w:r>
    </w:p>
    <w:p w:rsidR="0032095D" w:rsidRDefault="0032095D" w:rsidP="0032095D">
      <w:pPr>
        <w:pStyle w:val="Odlomakpopisa"/>
        <w:overflowPunct w:val="0"/>
        <w:autoSpaceDE w:val="0"/>
        <w:ind w:left="1440" w:right="-41"/>
        <w:jc w:val="both"/>
      </w:pPr>
    </w:p>
    <w:p w:rsidR="0032095D" w:rsidRDefault="0032095D" w:rsidP="0032095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Način otplate</w:t>
      </w:r>
    </w:p>
    <w:p w:rsidR="0032095D" w:rsidRDefault="0032095D" w:rsidP="0032095D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</w:pPr>
      <w:r>
        <w:t>u pravilu u jednakim mjesečnim, tromjesečnim ili polugodišnjim ratama.</w:t>
      </w:r>
    </w:p>
    <w:p w:rsidR="0032095D" w:rsidRDefault="0032095D" w:rsidP="0032095D">
      <w:pPr>
        <w:pStyle w:val="Odlomakpopisa"/>
        <w:overflowPunct w:val="0"/>
        <w:autoSpaceDE w:val="0"/>
        <w:ind w:right="-41"/>
        <w:jc w:val="both"/>
      </w:pPr>
    </w:p>
    <w:p w:rsidR="0032095D" w:rsidRDefault="0032095D" w:rsidP="0032095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Instrumenti osiguranja</w:t>
      </w:r>
    </w:p>
    <w:p w:rsidR="0032095D" w:rsidRPr="0032095D" w:rsidRDefault="001A002A" w:rsidP="0032095D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</w:pPr>
      <w:r>
        <w:t>mjenice, zadužnice, zalog na imovini uz policu osiguranja imov</w:t>
      </w:r>
      <w:r w:rsidR="00CA55F9">
        <w:t>ine vinkulirane u korist HBOR-a / poslovne banke,</w:t>
      </w:r>
      <w:r>
        <w:t xml:space="preserve"> zalog na poslovnim udjelima, bankarske garancije, jamstva HAMAG-BICRO-a i ostale instrumente osiguranja uobičajene u bankarskom poslovanju te procjeni rizika ulaganja i korisnika kredita.</w:t>
      </w:r>
    </w:p>
    <w:p w:rsidR="00DC53B6" w:rsidRDefault="00DC53B6" w:rsidP="00215055">
      <w:pPr>
        <w:overflowPunct w:val="0"/>
        <w:autoSpaceDE w:val="0"/>
        <w:ind w:right="-41"/>
        <w:jc w:val="both"/>
      </w:pPr>
    </w:p>
    <w:p w:rsidR="00215055" w:rsidRPr="00215055" w:rsidRDefault="00215055" w:rsidP="00215055">
      <w:pPr>
        <w:overflowPunct w:val="0"/>
        <w:autoSpaceDE w:val="0"/>
        <w:ind w:right="-41"/>
        <w:jc w:val="both"/>
        <w:rPr>
          <w:i/>
        </w:rPr>
      </w:pPr>
      <w:r w:rsidRPr="00215055">
        <w:rPr>
          <w:i/>
        </w:rPr>
        <w:t xml:space="preserve">NAPOMENA: Primjenjuju se uvjeti i kriteriji programa „Poduzetništvo mladih, žena i početnika“ koji su u trenutku slanja zahtjeva za kredit objavljeni na Internet stranicama HBOR-a, </w:t>
      </w:r>
      <w:hyperlink r:id="rId8" w:history="1">
        <w:r w:rsidRPr="00215055">
          <w:rPr>
            <w:rStyle w:val="Hiperveza"/>
            <w:i/>
          </w:rPr>
          <w:t>www.hbor.hr/</w:t>
        </w:r>
      </w:hyperlink>
      <w:r w:rsidRPr="00215055">
        <w:rPr>
          <w:i/>
        </w:rPr>
        <w:t>.</w:t>
      </w:r>
    </w:p>
    <w:p w:rsidR="00DC53B6" w:rsidRDefault="00DC53B6" w:rsidP="00215055">
      <w:pPr>
        <w:overflowPunct w:val="0"/>
        <w:autoSpaceDE w:val="0"/>
        <w:ind w:right="-41"/>
        <w:jc w:val="both"/>
      </w:pPr>
    </w:p>
    <w:p w:rsidR="003F18A5" w:rsidRDefault="0004645B" w:rsidP="003F18A5">
      <w:pPr>
        <w:overflowPunct w:val="0"/>
        <w:autoSpaceDE w:val="0"/>
        <w:ind w:right="-41"/>
        <w:jc w:val="center"/>
      </w:pPr>
      <w:r w:rsidRPr="0004645B">
        <w:t>V.</w:t>
      </w:r>
    </w:p>
    <w:p w:rsidR="0004645B" w:rsidRDefault="0004645B" w:rsidP="003F18A5">
      <w:pPr>
        <w:overflowPunct w:val="0"/>
        <w:autoSpaceDE w:val="0"/>
        <w:ind w:right="-41"/>
        <w:jc w:val="center"/>
      </w:pPr>
    </w:p>
    <w:p w:rsidR="0004645B" w:rsidRDefault="0004645B" w:rsidP="003F18A5">
      <w:pPr>
        <w:overflowPunct w:val="0"/>
        <w:autoSpaceDE w:val="0"/>
        <w:ind w:right="-41"/>
        <w:jc w:val="center"/>
        <w:rPr>
          <w:b/>
          <w:u w:val="single"/>
        </w:rPr>
      </w:pPr>
      <w:r>
        <w:rPr>
          <w:b/>
          <w:u w:val="single"/>
        </w:rPr>
        <w:t>Program „Investicije privatnog sektora“</w:t>
      </w:r>
    </w:p>
    <w:p w:rsidR="0004645B" w:rsidRDefault="0004645B" w:rsidP="003F18A5">
      <w:pPr>
        <w:overflowPunct w:val="0"/>
        <w:autoSpaceDE w:val="0"/>
        <w:ind w:right="-41"/>
        <w:jc w:val="center"/>
        <w:rPr>
          <w:b/>
          <w:u w:val="single"/>
        </w:rPr>
      </w:pPr>
    </w:p>
    <w:p w:rsidR="00CA55F9" w:rsidRDefault="00CA55F9" w:rsidP="0004645B">
      <w:pPr>
        <w:overflowPunct w:val="0"/>
        <w:autoSpaceDE w:val="0"/>
        <w:ind w:right="-41"/>
        <w:jc w:val="both"/>
        <w:rPr>
          <w:b/>
        </w:rPr>
      </w:pPr>
      <w:r>
        <w:rPr>
          <w:b/>
        </w:rPr>
        <w:t>Korisnici kredite</w:t>
      </w:r>
    </w:p>
    <w:p w:rsidR="00CA55F9" w:rsidRPr="00CA55F9" w:rsidRDefault="00CA55F9" w:rsidP="00CA55F9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</w:pPr>
      <w:r>
        <w:t>poslovni subjekti privatnog sektora – trgovačka društva, obrtnici, fizičke osobe koje samostalno obavljaju djelatnost, obiteljska poljoprivredna gospodarstva, zadruge i ustanove.</w:t>
      </w:r>
    </w:p>
    <w:p w:rsidR="00CA55F9" w:rsidRDefault="00CA55F9" w:rsidP="0004645B">
      <w:pPr>
        <w:overflowPunct w:val="0"/>
        <w:autoSpaceDE w:val="0"/>
        <w:ind w:right="-41"/>
        <w:jc w:val="both"/>
        <w:rPr>
          <w:b/>
        </w:rPr>
      </w:pPr>
    </w:p>
    <w:p w:rsidR="0004645B" w:rsidRDefault="0004645B" w:rsidP="0004645B">
      <w:pPr>
        <w:overflowPunct w:val="0"/>
        <w:autoSpaceDE w:val="0"/>
        <w:ind w:right="-41"/>
        <w:jc w:val="both"/>
        <w:rPr>
          <w:b/>
        </w:rPr>
      </w:pPr>
      <w:r>
        <w:rPr>
          <w:b/>
        </w:rPr>
        <w:t>Namjena kredita</w:t>
      </w:r>
    </w:p>
    <w:p w:rsidR="0004645B" w:rsidRDefault="0004645B" w:rsidP="0004645B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>
        <w:t>ulaganja u osnovna sredstva (materijalnu i nematerijalnu imovinu) s ciljem modernizacije poslovanja, uvođenja novih tehnologija, povećanja kapaciteta, ulaganja u istraživanje i razvoj i uvođenje novih proizvoda ili usluga, poticanja projekata zaštite okoliša, energetske učinkovitosti i obnovljivih izvora energije, turističkih kapaciteta i sadržaja te poticanja novog zapošljavanja</w:t>
      </w:r>
      <w:r w:rsidR="00512B13">
        <w:t>.</w:t>
      </w:r>
    </w:p>
    <w:p w:rsidR="00512B13" w:rsidRDefault="00512B13" w:rsidP="0004645B">
      <w:pPr>
        <w:pStyle w:val="Odlomakpopisa"/>
        <w:numPr>
          <w:ilvl w:val="0"/>
          <w:numId w:val="12"/>
        </w:numPr>
        <w:overflowPunct w:val="0"/>
        <w:autoSpaceDE w:val="0"/>
        <w:ind w:right="-41"/>
        <w:jc w:val="both"/>
      </w:pPr>
      <w:r>
        <w:t>obrtna sredstva najviše do 30% ugovorenog iznosa kredita.</w:t>
      </w:r>
    </w:p>
    <w:p w:rsidR="00512B13" w:rsidRDefault="00512B13" w:rsidP="00512B13">
      <w:pPr>
        <w:pStyle w:val="Odlomakpopisa"/>
        <w:overflowPunct w:val="0"/>
        <w:autoSpaceDE w:val="0"/>
        <w:ind w:right="-41"/>
        <w:jc w:val="both"/>
      </w:pPr>
    </w:p>
    <w:p w:rsidR="00512B13" w:rsidRDefault="00512B13" w:rsidP="00512B13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Iznos kredita</w:t>
      </w:r>
    </w:p>
    <w:p w:rsidR="00512B13" w:rsidRDefault="00512B13" w:rsidP="00512B13">
      <w:pPr>
        <w:pStyle w:val="Odlomakpopisa"/>
        <w:numPr>
          <w:ilvl w:val="0"/>
          <w:numId w:val="13"/>
        </w:numPr>
        <w:overflowPunct w:val="0"/>
        <w:autoSpaceDE w:val="0"/>
        <w:ind w:right="-41"/>
        <w:jc w:val="both"/>
      </w:pPr>
      <w:r>
        <w:t>u pravilu se ne odobravaju krediti u iznosu nižem od 200.000,00 kuna,</w:t>
      </w:r>
    </w:p>
    <w:p w:rsidR="00512B13" w:rsidRDefault="00512B13" w:rsidP="00512B13">
      <w:pPr>
        <w:pStyle w:val="Odlomakpopisa"/>
        <w:numPr>
          <w:ilvl w:val="0"/>
          <w:numId w:val="13"/>
        </w:numPr>
        <w:overflowPunct w:val="0"/>
        <w:autoSpaceDE w:val="0"/>
        <w:ind w:right="-41"/>
        <w:jc w:val="both"/>
      </w:pPr>
      <w:r>
        <w:t>najviši iznos kredita nije ograničen, već ovisi o specifičnostima i kreditnoj sposobnosti korisnika kredita, namjeni i strukturi ulaganja i raspoloživim izvorima financiranja HBOR-a, pri čemu se može kreditirati do 75% predračunske vrijednosti investicije bez PDV-a.</w:t>
      </w:r>
    </w:p>
    <w:p w:rsidR="00512B13" w:rsidRDefault="00512B13" w:rsidP="00512B13">
      <w:pPr>
        <w:pStyle w:val="Odlomakpopisa"/>
        <w:numPr>
          <w:ilvl w:val="0"/>
          <w:numId w:val="13"/>
        </w:numPr>
        <w:overflowPunct w:val="0"/>
        <w:autoSpaceDE w:val="0"/>
        <w:ind w:right="-41"/>
        <w:jc w:val="both"/>
      </w:pPr>
      <w:r>
        <w:t>HBOR/poslovna banka mogu razmotriti kreditiranje 100% predračunske vrijednosti s PDV-om ako korisnik kredita isporučuje dobra ili obavlja usluge koje su izuzete od obračunavanja PDV-a ili za korisnike kredita koji ne posluju u sustavu PDV-a.</w:t>
      </w:r>
    </w:p>
    <w:p w:rsidR="00512B13" w:rsidRDefault="00512B13" w:rsidP="00512B13">
      <w:pPr>
        <w:pStyle w:val="Odlomakpopisa"/>
        <w:overflowPunct w:val="0"/>
        <w:autoSpaceDE w:val="0"/>
        <w:ind w:right="-41"/>
        <w:jc w:val="both"/>
      </w:pPr>
    </w:p>
    <w:p w:rsidR="00512B13" w:rsidRDefault="00512B13" w:rsidP="00512B13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Valuta kredita</w:t>
      </w:r>
    </w:p>
    <w:p w:rsidR="00512B13" w:rsidRDefault="00512B13" w:rsidP="00512B13">
      <w:pPr>
        <w:pStyle w:val="Odlomakpopisa"/>
        <w:numPr>
          <w:ilvl w:val="0"/>
          <w:numId w:val="14"/>
        </w:numPr>
        <w:overflowPunct w:val="0"/>
        <w:autoSpaceDE w:val="0"/>
        <w:ind w:right="-41"/>
        <w:jc w:val="both"/>
      </w:pPr>
      <w:r>
        <w:t>kunski kredit uz valutnu klauzulu vezanu za EUR.</w:t>
      </w:r>
    </w:p>
    <w:p w:rsidR="00512B13" w:rsidRDefault="00512B13" w:rsidP="00512B13">
      <w:pPr>
        <w:pStyle w:val="Odlomakpopisa"/>
        <w:overflowPunct w:val="0"/>
        <w:autoSpaceDE w:val="0"/>
        <w:ind w:right="-41"/>
        <w:jc w:val="both"/>
      </w:pPr>
    </w:p>
    <w:p w:rsidR="00512B13" w:rsidRDefault="00512B13" w:rsidP="00512B13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lastRenderedPageBreak/>
        <w:t>Kamatna stopa</w:t>
      </w:r>
    </w:p>
    <w:p w:rsidR="00F44F9C" w:rsidRDefault="00F44F9C" w:rsidP="00F44F9C">
      <w:pPr>
        <w:pStyle w:val="Odlomakpopisa"/>
        <w:numPr>
          <w:ilvl w:val="0"/>
          <w:numId w:val="14"/>
        </w:numPr>
        <w:overflowPunct w:val="0"/>
        <w:autoSpaceDE w:val="0"/>
        <w:ind w:right="-41"/>
        <w:jc w:val="both"/>
      </w:pPr>
      <w:r w:rsidRPr="00B56D53">
        <w:t>1,50% godišnje, fiksna.</w:t>
      </w:r>
    </w:p>
    <w:p w:rsidR="00DC53B6" w:rsidRDefault="00DC53B6" w:rsidP="00DC53B6">
      <w:pPr>
        <w:pStyle w:val="Odlomakpopisa"/>
        <w:overflowPunct w:val="0"/>
        <w:autoSpaceDE w:val="0"/>
        <w:ind w:right="-41"/>
        <w:jc w:val="both"/>
      </w:pPr>
      <w:r>
        <w:t>U određenim slučajevima kamatna stopa može biti i viša, ovisno o cijeni raspoloživih izvora financiranja i propisima o dodjeli državnih potpora i/ili potpora male vrijednosti.</w:t>
      </w:r>
    </w:p>
    <w:p w:rsidR="00DC53B6" w:rsidRDefault="00DC53B6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Naknade</w:t>
      </w:r>
    </w:p>
    <w:p w:rsidR="00C8507D" w:rsidRDefault="00C8507D" w:rsidP="00C8507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promjenjive, u skladu s Odlukom o naknadama za usluge koje obavlja HBOR važećom na dan obračuna:</w:t>
      </w:r>
    </w:p>
    <w:p w:rsidR="00C8507D" w:rsidRDefault="00C8507D" w:rsidP="00C8507D">
      <w:pPr>
        <w:pStyle w:val="Odlomakpopisa"/>
        <w:numPr>
          <w:ilvl w:val="0"/>
          <w:numId w:val="8"/>
        </w:numPr>
        <w:overflowPunct w:val="0"/>
        <w:autoSpaceDE w:val="0"/>
        <w:ind w:right="-41"/>
        <w:jc w:val="both"/>
      </w:pPr>
      <w:r>
        <w:t>za obradu kreditnog zahtjeva: 0,50% od ugovorenog iznosa kredita,</w:t>
      </w:r>
    </w:p>
    <w:p w:rsidR="00C8507D" w:rsidRDefault="00C8507D" w:rsidP="00C8507D">
      <w:pPr>
        <w:pStyle w:val="Odlomakpopisa"/>
        <w:numPr>
          <w:ilvl w:val="0"/>
          <w:numId w:val="8"/>
        </w:numPr>
        <w:overflowPunct w:val="0"/>
        <w:autoSpaceDE w:val="0"/>
        <w:ind w:right="-41"/>
        <w:jc w:val="both"/>
      </w:pPr>
      <w:r>
        <w:t>za rezervaciju sredstava: 0,25% od ugovorenog, a neiskorištenog iznosa kredita,</w:t>
      </w:r>
    </w:p>
    <w:p w:rsidR="00C8507D" w:rsidRDefault="00C8507D" w:rsidP="00C8507D">
      <w:pPr>
        <w:pStyle w:val="Odlomakpopisa"/>
        <w:overflowPunct w:val="0"/>
        <w:autoSpaceDE w:val="0"/>
        <w:ind w:right="-41"/>
        <w:jc w:val="both"/>
      </w:pPr>
      <w:r>
        <w:t>te ostale naknade u skladu s Odlukom o naknadama za usluge koje obavlja HBOR važećom na dan obračuna.</w:t>
      </w:r>
    </w:p>
    <w:p w:rsidR="00C8507D" w:rsidRDefault="00C8507D" w:rsidP="00C8507D">
      <w:pPr>
        <w:pStyle w:val="Odlomakpopisa"/>
        <w:overflowPunct w:val="0"/>
        <w:autoSpaceDE w:val="0"/>
        <w:ind w:right="-41"/>
        <w:jc w:val="both"/>
      </w:pP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Rok i način korištenja</w:t>
      </w:r>
    </w:p>
    <w:p w:rsidR="00C8507D" w:rsidRDefault="00C8507D" w:rsidP="00C8507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rok korištenja je u pravilu do 12 mjeseci. Ovisno o namjeni i dinamici ulaganja, moguće je odobriti i dulji rok korištenja kredita.</w:t>
      </w:r>
    </w:p>
    <w:p w:rsidR="00C8507D" w:rsidRDefault="00C8507D" w:rsidP="00C8507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dio kredita namijenjen za financiranje osnovnih sredstava koristi se isplatom na račun prodavatelja/dobavljača/izvođača radova, na temelju dokumentacije za namjensko korištenje kredita,</w:t>
      </w:r>
    </w:p>
    <w:p w:rsidR="00C8507D" w:rsidRDefault="00C8507D" w:rsidP="00C8507D">
      <w:pPr>
        <w:pStyle w:val="Odlomakpopisa"/>
        <w:numPr>
          <w:ilvl w:val="0"/>
          <w:numId w:val="7"/>
        </w:numPr>
        <w:overflowPunct w:val="0"/>
        <w:autoSpaceDE w:val="0"/>
        <w:ind w:right="-41"/>
        <w:jc w:val="both"/>
      </w:pPr>
      <w:r>
        <w:t>dio kredita namijenjen za financiranje obrtnih sredstava može se isplatiti na račun korisnika kredita, uz obavezno pravdanje dokumentacijom kojom se dokazuje namjensko korištenje kredita.</w:t>
      </w: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Rok otplate</w:t>
      </w:r>
    </w:p>
    <w:p w:rsidR="00C8507D" w:rsidRPr="00C8507D" w:rsidRDefault="00C8507D" w:rsidP="00C8507D">
      <w:pPr>
        <w:pStyle w:val="Odlomakpopisa"/>
        <w:numPr>
          <w:ilvl w:val="0"/>
          <w:numId w:val="20"/>
        </w:numPr>
        <w:overflowPunct w:val="0"/>
        <w:autoSpaceDE w:val="0"/>
        <w:ind w:right="-41"/>
        <w:jc w:val="both"/>
      </w:pPr>
      <w:r>
        <w:t>ovisno o namjeni i strukturi ulaganja, do 14 godina, uključujući poček do 3 godine.</w:t>
      </w:r>
    </w:p>
    <w:p w:rsidR="00C8507D" w:rsidRDefault="00C8507D" w:rsidP="00C8507D">
      <w:pPr>
        <w:pStyle w:val="Odlomakpopisa"/>
        <w:numPr>
          <w:ilvl w:val="0"/>
          <w:numId w:val="9"/>
        </w:numPr>
        <w:overflowPunct w:val="0"/>
        <w:autoSpaceDE w:val="0"/>
        <w:ind w:right="-41"/>
        <w:jc w:val="both"/>
      </w:pPr>
      <w:r>
        <w:t>iznimno od navedenog, ovisno o namjeni i strukturi ulaganja, moguće je odobriti rokove otplate i počeka:</w:t>
      </w:r>
    </w:p>
    <w:p w:rsidR="00C8507D" w:rsidRDefault="00C8507D" w:rsidP="00C8507D">
      <w:pPr>
        <w:pStyle w:val="Odlomakpopisa"/>
        <w:numPr>
          <w:ilvl w:val="0"/>
          <w:numId w:val="10"/>
        </w:numPr>
        <w:overflowPunct w:val="0"/>
        <w:autoSpaceDE w:val="0"/>
        <w:ind w:right="-41"/>
        <w:jc w:val="both"/>
      </w:pPr>
      <w:r>
        <w:t>za ulaganja u turizam ili ako investicijska studija ukazuje na potrebu za duljom ročnosti i/ili počekom: do 17 godina, uključujući poček do 4 godine.</w:t>
      </w:r>
    </w:p>
    <w:p w:rsidR="00C8507D" w:rsidRDefault="00C8507D" w:rsidP="00C8507D">
      <w:pPr>
        <w:pStyle w:val="Odlomakpopisa"/>
        <w:overflowPunct w:val="0"/>
        <w:autoSpaceDE w:val="0"/>
        <w:ind w:left="1440" w:right="-41"/>
        <w:jc w:val="both"/>
      </w:pP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Način otplate</w:t>
      </w:r>
    </w:p>
    <w:p w:rsidR="00C8507D" w:rsidRDefault="00C8507D" w:rsidP="00C8507D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</w:pPr>
      <w:r>
        <w:t>u pravilu u jednakim mjesečnim, tromjesečnim ili polugodišnjim ratama.</w:t>
      </w: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</w:pPr>
    </w:p>
    <w:p w:rsidR="00C8507D" w:rsidRDefault="00C8507D" w:rsidP="00C8507D">
      <w:pPr>
        <w:pStyle w:val="Odlomakpopisa"/>
        <w:overflowPunct w:val="0"/>
        <w:autoSpaceDE w:val="0"/>
        <w:ind w:left="0" w:right="-41"/>
        <w:jc w:val="both"/>
        <w:rPr>
          <w:b/>
        </w:rPr>
      </w:pPr>
      <w:r>
        <w:rPr>
          <w:b/>
        </w:rPr>
        <w:t>Instrumenti osiguranja</w:t>
      </w:r>
    </w:p>
    <w:p w:rsidR="00C8507D" w:rsidRPr="0032095D" w:rsidRDefault="00C8507D" w:rsidP="00C8507D">
      <w:pPr>
        <w:pStyle w:val="Odlomakpopisa"/>
        <w:numPr>
          <w:ilvl w:val="0"/>
          <w:numId w:val="11"/>
        </w:numPr>
        <w:overflowPunct w:val="0"/>
        <w:autoSpaceDE w:val="0"/>
        <w:ind w:right="-41"/>
        <w:jc w:val="both"/>
      </w:pPr>
      <w:r>
        <w:t>mjenice, zadužnice, zalog na imovini uz policu osiguranja imovine vinkulirane u korist HBOR-a, zalog na poslovnim udjelima, bankarske garancije, jamstva HAMAG-BICRO-a i ostale instrumente osiguranja uobičajene u bankarskom poslovanju), te procjeni rizika ulaganja i korisnika kredita.</w:t>
      </w:r>
    </w:p>
    <w:p w:rsidR="00C8507D" w:rsidRDefault="00C8507D" w:rsidP="00957949">
      <w:pPr>
        <w:overflowPunct w:val="0"/>
        <w:autoSpaceDE w:val="0"/>
        <w:ind w:right="-41"/>
        <w:jc w:val="both"/>
      </w:pPr>
    </w:p>
    <w:p w:rsidR="00DC53B6" w:rsidRDefault="00DC53B6" w:rsidP="00957949">
      <w:pPr>
        <w:overflowPunct w:val="0"/>
        <w:autoSpaceDE w:val="0"/>
        <w:ind w:right="-41"/>
        <w:jc w:val="both"/>
      </w:pPr>
    </w:p>
    <w:p w:rsidR="00215055" w:rsidRPr="00215055" w:rsidRDefault="00215055" w:rsidP="00215055">
      <w:pPr>
        <w:overflowPunct w:val="0"/>
        <w:autoSpaceDE w:val="0"/>
        <w:ind w:right="-41"/>
        <w:jc w:val="both"/>
        <w:rPr>
          <w:i/>
        </w:rPr>
      </w:pPr>
      <w:r w:rsidRPr="00215055">
        <w:rPr>
          <w:i/>
        </w:rPr>
        <w:t>NAPOMENA: Primjenjuju se uvjeti i kriteriji programa „</w:t>
      </w:r>
      <w:r>
        <w:rPr>
          <w:i/>
        </w:rPr>
        <w:t>Investicije privatnog sektora</w:t>
      </w:r>
      <w:r w:rsidRPr="00215055">
        <w:rPr>
          <w:i/>
        </w:rPr>
        <w:t xml:space="preserve">“ koji su u trenutku slanja zahtjeva za kredit objavljeni na Internet stranicama HBOR-a, </w:t>
      </w:r>
      <w:hyperlink r:id="rId9" w:history="1">
        <w:r w:rsidRPr="00215055">
          <w:rPr>
            <w:rStyle w:val="Hiperveza"/>
            <w:i/>
          </w:rPr>
          <w:t>www.hbor.hr/</w:t>
        </w:r>
      </w:hyperlink>
      <w:r w:rsidRPr="00215055">
        <w:rPr>
          <w:i/>
        </w:rPr>
        <w:t>.</w:t>
      </w:r>
    </w:p>
    <w:p w:rsidR="00215055" w:rsidRDefault="00215055" w:rsidP="00957949">
      <w:pPr>
        <w:overflowPunct w:val="0"/>
        <w:autoSpaceDE w:val="0"/>
        <w:ind w:right="-41"/>
        <w:jc w:val="both"/>
      </w:pPr>
    </w:p>
    <w:p w:rsidR="00C8507D" w:rsidRPr="00906C27" w:rsidRDefault="00906C27" w:rsidP="00906C27">
      <w:pPr>
        <w:pStyle w:val="Odlomakpopisa"/>
        <w:overflowPunct w:val="0"/>
        <w:autoSpaceDE w:val="0"/>
        <w:ind w:left="0" w:right="-41"/>
        <w:jc w:val="center"/>
      </w:pPr>
      <w:r>
        <w:t>VI.</w:t>
      </w:r>
    </w:p>
    <w:p w:rsidR="000F7FED" w:rsidRDefault="000F7FED" w:rsidP="000F7FED">
      <w:pPr>
        <w:pStyle w:val="Odlomakpopisa"/>
        <w:overflowPunct w:val="0"/>
        <w:autoSpaceDE w:val="0"/>
        <w:ind w:right="-41"/>
        <w:jc w:val="both"/>
      </w:pPr>
    </w:p>
    <w:p w:rsidR="000A5636" w:rsidRDefault="008460C0" w:rsidP="008460C0">
      <w:pPr>
        <w:pStyle w:val="Odlomakpopisa"/>
        <w:overflowPunct w:val="0"/>
        <w:autoSpaceDE w:val="0"/>
        <w:ind w:left="0" w:right="-41"/>
        <w:jc w:val="both"/>
      </w:pPr>
      <w:r>
        <w:t>Prilikom podnošenja zahtjeva potrebno je pr</w:t>
      </w:r>
      <w:r w:rsidR="004E184B">
        <w:t>i</w:t>
      </w:r>
      <w:r w:rsidR="000A5636">
        <w:t>ložiti slijedeću dokumentaciju:</w:t>
      </w:r>
    </w:p>
    <w:p w:rsidR="000A5636" w:rsidRDefault="00F80EC9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zahtjev za kreditiranje (putem poslovne banke/HBOR-a),</w:t>
      </w:r>
    </w:p>
    <w:p w:rsidR="00F80EC9" w:rsidRDefault="00F80EC9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 xml:space="preserve">preslika </w:t>
      </w:r>
      <w:r w:rsidR="00552973">
        <w:t>Rješenja o upisu u Obrtni registar</w:t>
      </w:r>
      <w:r>
        <w:t xml:space="preserve"> / </w:t>
      </w:r>
      <w:r w:rsidR="00552973">
        <w:t>R</w:t>
      </w:r>
      <w:r>
        <w:t>ješenja o upisu u Sudski registar,</w:t>
      </w:r>
    </w:p>
    <w:p w:rsidR="00552973" w:rsidRDefault="00552973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preslika Obavijesti o razvrstavanju poslovnog subjekta prema NKD-u 2007.,</w:t>
      </w:r>
    </w:p>
    <w:p w:rsidR="00552973" w:rsidRDefault="00552973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BON2 / SOL2 ne stariji od 30 dana od dana podnošenja zahtjeva,</w:t>
      </w:r>
    </w:p>
    <w:p w:rsidR="00552973" w:rsidRDefault="00552973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Potvrda Porezne uprave o stanju obveza prema državi / Potvrda Porezne uprave o obročnoj otplati poreznog duga, ne starija od 30 dana od dana podnošenja zahtjeva,</w:t>
      </w:r>
    </w:p>
    <w:p w:rsidR="00552973" w:rsidRDefault="00552973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lastRenderedPageBreak/>
        <w:t>Godišnji financijski izvještaji za prethodne dvije godine poslovanja (Bilanca i račun dobiti i gubitka / Knjiga primitaka i izdataka i Popis dugotrajne imovine)</w:t>
      </w:r>
    </w:p>
    <w:p w:rsidR="00273528" w:rsidRDefault="00B54550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o</w:t>
      </w:r>
      <w:r w:rsidR="00273528">
        <w:t>brazac JOPPD (stranica A i B),</w:t>
      </w:r>
    </w:p>
    <w:p w:rsidR="00273528" w:rsidRDefault="00B54550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l</w:t>
      </w:r>
      <w:r w:rsidR="00273528">
        <w:t>okacijska il građevinska dozvola ukoliko je građenje predmet kreditiranja,</w:t>
      </w:r>
    </w:p>
    <w:p w:rsidR="00273528" w:rsidRDefault="00215055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p</w:t>
      </w:r>
      <w:r w:rsidR="00273528">
        <w:t>oslovni plan,</w:t>
      </w:r>
    </w:p>
    <w:p w:rsidR="00273528" w:rsidRDefault="00215055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p</w:t>
      </w:r>
      <w:r w:rsidR="00273528">
        <w:t>redračuni / računi / ugovori o isporuci ili kupnji osnovnih sredstava / pisma namjere,</w:t>
      </w:r>
    </w:p>
    <w:p w:rsidR="00273528" w:rsidRDefault="00273528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 xml:space="preserve">Izjava o potporama, </w:t>
      </w:r>
    </w:p>
    <w:p w:rsidR="00B54550" w:rsidRDefault="00B54550" w:rsidP="00F80EC9">
      <w:pPr>
        <w:pStyle w:val="Odlomakpopisa"/>
        <w:numPr>
          <w:ilvl w:val="0"/>
          <w:numId w:val="21"/>
        </w:numPr>
        <w:overflowPunct w:val="0"/>
        <w:autoSpaceDE w:val="0"/>
        <w:ind w:right="-41"/>
        <w:jc w:val="both"/>
      </w:pPr>
      <w:r>
        <w:t>ostala dokumentacija prema potrebi i/ili na zahtjev poslovne banke / HBOR-a.</w:t>
      </w:r>
    </w:p>
    <w:p w:rsidR="000A5636" w:rsidRDefault="000A5636" w:rsidP="008460C0">
      <w:pPr>
        <w:pStyle w:val="Odlomakpopisa"/>
        <w:overflowPunct w:val="0"/>
        <w:autoSpaceDE w:val="0"/>
        <w:ind w:left="0" w:right="-41"/>
        <w:jc w:val="both"/>
      </w:pPr>
    </w:p>
    <w:p w:rsidR="000A5636" w:rsidRDefault="00B54550" w:rsidP="008460C0">
      <w:pPr>
        <w:pStyle w:val="Odlomakpopisa"/>
        <w:overflowPunct w:val="0"/>
        <w:autoSpaceDE w:val="0"/>
        <w:ind w:left="0" w:right="-41"/>
        <w:jc w:val="both"/>
      </w:pPr>
      <w:r>
        <w:t xml:space="preserve">NAPOMENA: Standardizirani obrasci zahtjeva za kredit i drugi obrasci objavljeni su na mrežnim </w:t>
      </w:r>
      <w:r w:rsidR="00BF53AF">
        <w:t>stranicama HBOR-a</w:t>
      </w:r>
      <w:r w:rsidR="00757F94">
        <w:t xml:space="preserve"> </w:t>
      </w:r>
      <w:hyperlink r:id="rId10" w:history="1">
        <w:r w:rsidR="00757F94" w:rsidRPr="00671DE5">
          <w:rPr>
            <w:rStyle w:val="Hiperveza"/>
          </w:rPr>
          <w:t>https://www.hbor.hr/kreditni_program/poduzetnistvo-mladih-zena-i-pocetnika/</w:t>
        </w:r>
      </w:hyperlink>
      <w:r w:rsidR="00757F94">
        <w:t xml:space="preserve"> i </w:t>
      </w:r>
      <w:hyperlink r:id="rId11" w:history="1">
        <w:r w:rsidR="00757F94" w:rsidRPr="00671DE5">
          <w:rPr>
            <w:rStyle w:val="Hiperveza"/>
          </w:rPr>
          <w:t>https://www.hbor.hr/kreditni_program/investicije-privatnog-sektora/</w:t>
        </w:r>
      </w:hyperlink>
      <w:r w:rsidR="00757F94">
        <w:t xml:space="preserve"> te</w:t>
      </w:r>
      <w:r w:rsidR="00B56D53">
        <w:t xml:space="preserve"> Koprivničko-križevačke županije </w:t>
      </w:r>
      <w:hyperlink r:id="rId12" w:history="1">
        <w:r w:rsidR="00B56D53" w:rsidRPr="00671DE5">
          <w:rPr>
            <w:rStyle w:val="Hiperveza"/>
          </w:rPr>
          <w:t>www.kckzz.hr</w:t>
        </w:r>
      </w:hyperlink>
      <w:r w:rsidR="00B56D53">
        <w:t>.</w:t>
      </w:r>
    </w:p>
    <w:p w:rsidR="00E70919" w:rsidRDefault="00E70919" w:rsidP="008460C0">
      <w:pPr>
        <w:pStyle w:val="Odlomakpopisa"/>
        <w:overflowPunct w:val="0"/>
        <w:autoSpaceDE w:val="0"/>
        <w:ind w:left="0" w:right="-41"/>
        <w:jc w:val="center"/>
      </w:pPr>
    </w:p>
    <w:p w:rsidR="008460C0" w:rsidRDefault="008460C0" w:rsidP="008460C0">
      <w:pPr>
        <w:pStyle w:val="Odlomakpopisa"/>
        <w:overflowPunct w:val="0"/>
        <w:autoSpaceDE w:val="0"/>
        <w:ind w:left="0" w:right="-41"/>
        <w:jc w:val="center"/>
      </w:pPr>
      <w:r>
        <w:t>VII.</w:t>
      </w:r>
    </w:p>
    <w:p w:rsidR="008460C0" w:rsidRDefault="008460C0" w:rsidP="008460C0">
      <w:pPr>
        <w:pStyle w:val="Odlomakpopisa"/>
        <w:overflowPunct w:val="0"/>
        <w:autoSpaceDE w:val="0"/>
        <w:ind w:right="-41"/>
        <w:jc w:val="both"/>
      </w:pPr>
    </w:p>
    <w:p w:rsidR="00B56D53" w:rsidRDefault="00B56D53" w:rsidP="00B56D53">
      <w:pPr>
        <w:pStyle w:val="Odlomakpopisa"/>
        <w:overflowPunct w:val="0"/>
        <w:autoSpaceDE w:val="0"/>
        <w:ind w:left="0" w:right="-41"/>
        <w:jc w:val="both"/>
      </w:pPr>
      <w:r>
        <w:t>Županija će osnovati Povjerenstvo za odabir poduzetničkih projekata</w:t>
      </w:r>
      <w:r w:rsidR="00480A05">
        <w:t xml:space="preserve"> koje donosi Odluku o sufinanciranju kamatne stope do 2%, dok konačnu Odluku o zaključenju Ugovora o kreditu donosi HBOR odnosno poslovna banka.</w:t>
      </w:r>
    </w:p>
    <w:p w:rsidR="00FB7E2E" w:rsidRDefault="00FB7E2E" w:rsidP="008460C0">
      <w:pPr>
        <w:pStyle w:val="Odlomakpopisa"/>
        <w:overflowPunct w:val="0"/>
        <w:autoSpaceDE w:val="0"/>
        <w:ind w:right="-41"/>
        <w:jc w:val="both"/>
      </w:pPr>
    </w:p>
    <w:p w:rsidR="00480A05" w:rsidRPr="0026591D" w:rsidRDefault="00480A05" w:rsidP="00480A05">
      <w:pPr>
        <w:overflowPunct w:val="0"/>
        <w:autoSpaceDE w:val="0"/>
        <w:ind w:right="-41"/>
        <w:jc w:val="center"/>
      </w:pPr>
      <w:r w:rsidRPr="0026591D">
        <w:t>VII</w:t>
      </w:r>
      <w:r>
        <w:t>I</w:t>
      </w:r>
      <w:r w:rsidRPr="0026591D">
        <w:t>.</w:t>
      </w:r>
    </w:p>
    <w:p w:rsidR="00480A05" w:rsidRDefault="00480A05" w:rsidP="00480A05">
      <w:pPr>
        <w:overflowPunct w:val="0"/>
        <w:autoSpaceDE w:val="0"/>
        <w:ind w:right="-41"/>
        <w:jc w:val="both"/>
        <w:rPr>
          <w:color w:val="FF0000"/>
        </w:rPr>
      </w:pPr>
      <w:r w:rsidRPr="00BC3423">
        <w:rPr>
          <w:color w:val="FF0000"/>
        </w:rPr>
        <w:tab/>
      </w:r>
    </w:p>
    <w:p w:rsidR="00480A05" w:rsidRDefault="00480A05" w:rsidP="00480A05">
      <w:pPr>
        <w:pStyle w:val="Odlomakpopisa"/>
        <w:ind w:left="0"/>
        <w:jc w:val="both"/>
      </w:pPr>
      <w:r>
        <w:t>Temeljem</w:t>
      </w:r>
      <w:r w:rsidRPr="00EE7340">
        <w:t xml:space="preserve"> Uredbe komisije (EU) br. 1407/2013 od 18. prosinca 2013. o primjeni članaka 107. i 108. Ugovora o funkcioniranju Europske unije na de minimis potpore i Zakona o  državnim potporama („Narodne novine“ broj 47/14. i 69/17.),</w:t>
      </w:r>
      <w:r>
        <w:t xml:space="preserve"> gospodarskom subjektu tj. korisniku kredita biti će izdana</w:t>
      </w:r>
      <w:r w:rsidRPr="00EE7340">
        <w:t xml:space="preserve"> Potvrda o dodijeljenoj potpori male vrijednosti te će vrijednost iste biti unesena u web aplikaciju Registra državnih potpora Ministarstva financija</w:t>
      </w:r>
      <w:r>
        <w:t>.</w:t>
      </w:r>
    </w:p>
    <w:p w:rsidR="00DC53B6" w:rsidRDefault="00DC53B6" w:rsidP="00480A05">
      <w:pPr>
        <w:pStyle w:val="Odlomakpopisa"/>
        <w:ind w:left="0"/>
        <w:jc w:val="both"/>
      </w:pPr>
    </w:p>
    <w:p w:rsidR="00480A05" w:rsidRPr="00EC1BCA" w:rsidRDefault="00480A05" w:rsidP="00480A05">
      <w:pPr>
        <w:pStyle w:val="Odlomakpopisa"/>
        <w:ind w:left="0"/>
        <w:jc w:val="both"/>
      </w:pPr>
      <w:r w:rsidRPr="00EC1BCA">
        <w:t xml:space="preserve">Ova potpora ne isključuje ostvarivanje prava gospodarskog subjekta na dodjelu potpore male vrijednosti drugih davatelja, a čiji ukupni iznos ne prelazi 200.000,00 eura u kunskoj protuvrijednosti, prema srednjem tečaju Hrvatske narodne banke na dan isplate, u razdoblju od tri fiskalne godine. </w:t>
      </w:r>
    </w:p>
    <w:p w:rsidR="00480A05" w:rsidRDefault="00480A05" w:rsidP="00480A05">
      <w:pPr>
        <w:overflowPunct w:val="0"/>
        <w:autoSpaceDE w:val="0"/>
        <w:ind w:right="-41"/>
        <w:jc w:val="both"/>
        <w:rPr>
          <w:color w:val="FF0000"/>
        </w:rPr>
      </w:pPr>
    </w:p>
    <w:p w:rsidR="00FB7E2E" w:rsidRPr="00FB7E2E" w:rsidRDefault="00FB7E2E" w:rsidP="00FB7E2E">
      <w:pPr>
        <w:overflowPunct w:val="0"/>
        <w:autoSpaceDE w:val="0"/>
        <w:ind w:right="-41"/>
        <w:jc w:val="center"/>
      </w:pPr>
      <w:r w:rsidRPr="00FB7E2E">
        <w:t>IX.</w:t>
      </w:r>
    </w:p>
    <w:p w:rsidR="00480A05" w:rsidRPr="00BC3423" w:rsidRDefault="00480A05" w:rsidP="00480A05">
      <w:pPr>
        <w:overflowPunct w:val="0"/>
        <w:autoSpaceDE w:val="0"/>
        <w:ind w:right="-41"/>
        <w:jc w:val="both"/>
        <w:rPr>
          <w:color w:val="FF0000"/>
        </w:rPr>
      </w:pPr>
    </w:p>
    <w:p w:rsidR="00480A05" w:rsidRPr="0026591D" w:rsidRDefault="00480A05" w:rsidP="00480A05">
      <w:pPr>
        <w:overflowPunct w:val="0"/>
        <w:autoSpaceDE w:val="0"/>
        <w:ind w:right="-41"/>
        <w:jc w:val="both"/>
      </w:pPr>
      <w:r w:rsidRPr="0026591D">
        <w:t xml:space="preserve">Županija i </w:t>
      </w:r>
      <w:r w:rsidR="00757F94">
        <w:t xml:space="preserve">HBOR / </w:t>
      </w:r>
      <w:r w:rsidRPr="0026591D">
        <w:t>poslovna banka provode kontrolu namjenskog korištenja poduzetničkog kredita.</w:t>
      </w:r>
    </w:p>
    <w:p w:rsidR="00480A05" w:rsidRPr="00B56D53" w:rsidRDefault="00480A05" w:rsidP="00480A05">
      <w:pPr>
        <w:pStyle w:val="Odlomakpopisa"/>
        <w:ind w:left="0"/>
        <w:jc w:val="both"/>
      </w:pPr>
      <w:r w:rsidRPr="00B56D53">
        <w:t>Županija će kontinuirano vršiti kontrolu aktivnosti i statusa gospodarskog subjekta uvidom u baze podataka obrtnog i sudskog registra te Registra poreznih obveznika.</w:t>
      </w:r>
    </w:p>
    <w:p w:rsidR="00FB7E2E" w:rsidRPr="00BC3423" w:rsidRDefault="00FB7E2E" w:rsidP="00480A05">
      <w:pPr>
        <w:overflowPunct w:val="0"/>
        <w:autoSpaceDE w:val="0"/>
        <w:ind w:right="-41"/>
        <w:jc w:val="both"/>
        <w:rPr>
          <w:color w:val="FF0000"/>
        </w:rPr>
      </w:pPr>
    </w:p>
    <w:p w:rsidR="00480A05" w:rsidRPr="00BF53AF" w:rsidRDefault="00480A05" w:rsidP="00480A05">
      <w:pPr>
        <w:overflowPunct w:val="0"/>
        <w:autoSpaceDE w:val="0"/>
        <w:ind w:right="-41"/>
        <w:jc w:val="center"/>
      </w:pPr>
      <w:r w:rsidRPr="00BF53AF">
        <w:t>X</w:t>
      </w:r>
      <w:r>
        <w:t>.</w:t>
      </w:r>
    </w:p>
    <w:p w:rsidR="00480A05" w:rsidRDefault="00480A05" w:rsidP="00480A05">
      <w:pPr>
        <w:overflowPunct w:val="0"/>
        <w:autoSpaceDE w:val="0"/>
        <w:ind w:right="-41"/>
        <w:jc w:val="center"/>
        <w:rPr>
          <w:color w:val="FF0000"/>
        </w:rPr>
      </w:pPr>
    </w:p>
    <w:p w:rsidR="00480A05" w:rsidRDefault="00480A05" w:rsidP="00480A05">
      <w:pPr>
        <w:jc w:val="both"/>
      </w:pPr>
      <w:r w:rsidRPr="006E607B">
        <w:t>Zahtjevi</w:t>
      </w:r>
      <w:r w:rsidR="00FB7E2E">
        <w:t xml:space="preserve"> za poduzetniče</w:t>
      </w:r>
      <w:r w:rsidRPr="006E607B">
        <w:t xml:space="preserve"> kredite, zajedno s dokumentacijom propisanom kreditnim programom HBOR-a, podnose</w:t>
      </w:r>
      <w:r w:rsidRPr="00C21C19">
        <w:t xml:space="preserve"> se</w:t>
      </w:r>
      <w:r w:rsidR="00BD357B">
        <w:t xml:space="preserve"> od 11. svibnja 2020. godine</w:t>
      </w:r>
      <w:r>
        <w:t xml:space="preserve"> na e-mail: </w:t>
      </w:r>
      <w:hyperlink r:id="rId13" w:history="1">
        <w:r w:rsidRPr="002E0609">
          <w:rPr>
            <w:rStyle w:val="Hiperveza"/>
          </w:rPr>
          <w:t>pisarnica@kckzz.hr</w:t>
        </w:r>
      </w:hyperlink>
      <w:r w:rsidR="00BD357B">
        <w:t xml:space="preserve"> </w:t>
      </w:r>
      <w:r>
        <w:t>ili poštom</w:t>
      </w:r>
      <w:r w:rsidRPr="00C21C19">
        <w:t xml:space="preserve"> na adresu: </w:t>
      </w:r>
    </w:p>
    <w:p w:rsidR="00E70919" w:rsidRPr="0026591D" w:rsidRDefault="00E70919" w:rsidP="00480A05">
      <w:pPr>
        <w:jc w:val="both"/>
        <w:rPr>
          <w:color w:val="FF0000"/>
        </w:rPr>
      </w:pPr>
    </w:p>
    <w:p w:rsidR="00480A05" w:rsidRPr="00C21C19" w:rsidRDefault="00480A05" w:rsidP="00480A05">
      <w:pPr>
        <w:pStyle w:val="Odlomakpopisa"/>
        <w:ind w:left="0"/>
        <w:jc w:val="center"/>
      </w:pPr>
      <w:r w:rsidRPr="00C21C19">
        <w:t>Koprivničko-križevačka županija</w:t>
      </w:r>
    </w:p>
    <w:p w:rsidR="00480A05" w:rsidRDefault="00480A05" w:rsidP="00480A05">
      <w:pPr>
        <w:pStyle w:val="Odlomakpopisa"/>
        <w:ind w:left="0"/>
        <w:jc w:val="center"/>
      </w:pPr>
      <w:r w:rsidRPr="00C21C19">
        <w:t>Upravni odjel za gospodarstvo,</w:t>
      </w:r>
      <w:r>
        <w:t xml:space="preserve"> komunalne djelatnosti i</w:t>
      </w:r>
      <w:r w:rsidRPr="00C21C19">
        <w:t xml:space="preserve"> poljoprivredu</w:t>
      </w:r>
      <w:r>
        <w:t xml:space="preserve">, </w:t>
      </w:r>
      <w:r w:rsidR="00FB7E2E">
        <w:t>soba 61/II,</w:t>
      </w:r>
    </w:p>
    <w:p w:rsidR="00480A05" w:rsidRDefault="00480A05" w:rsidP="00480A05">
      <w:pPr>
        <w:pStyle w:val="Odlomakpopisa"/>
        <w:ind w:left="0"/>
        <w:jc w:val="center"/>
      </w:pPr>
      <w:r w:rsidRPr="00C21C19">
        <w:t>Antuna Nemčića</w:t>
      </w:r>
      <w:r>
        <w:t xml:space="preserve"> 5,</w:t>
      </w:r>
    </w:p>
    <w:p w:rsidR="00480A05" w:rsidRDefault="00480A05" w:rsidP="00480A05">
      <w:pPr>
        <w:pStyle w:val="Odlomakpopisa"/>
        <w:ind w:left="0"/>
        <w:jc w:val="center"/>
      </w:pPr>
      <w:r w:rsidRPr="00C21C19">
        <w:t>48000 Koprivnica</w:t>
      </w:r>
      <w:r>
        <w:t>.</w:t>
      </w:r>
    </w:p>
    <w:p w:rsidR="00DC53B6" w:rsidRDefault="00DC53B6" w:rsidP="00FB7E2E">
      <w:pPr>
        <w:pStyle w:val="Odlomakpopisa"/>
        <w:overflowPunct w:val="0"/>
        <w:autoSpaceDE w:val="0"/>
        <w:ind w:left="0" w:right="-41"/>
        <w:jc w:val="both"/>
      </w:pPr>
    </w:p>
    <w:p w:rsidR="00FB7E2E" w:rsidRDefault="00FB7E2E" w:rsidP="00FB7E2E">
      <w:pPr>
        <w:pStyle w:val="Odlomakpopisa"/>
        <w:overflowPunct w:val="0"/>
        <w:autoSpaceDE w:val="0"/>
        <w:ind w:left="0" w:right="-41"/>
        <w:jc w:val="both"/>
      </w:pPr>
      <w:r>
        <w:t>Nepotpuni zahtjevi neće se razmatrati.</w:t>
      </w:r>
    </w:p>
    <w:p w:rsidR="00FB7E2E" w:rsidRDefault="00FB7E2E" w:rsidP="008460C0">
      <w:pPr>
        <w:pStyle w:val="Odlomakpopisa"/>
        <w:overflowPunct w:val="0"/>
        <w:autoSpaceDE w:val="0"/>
        <w:ind w:right="-41"/>
        <w:jc w:val="both"/>
      </w:pPr>
    </w:p>
    <w:p w:rsidR="00480A05" w:rsidRDefault="00FB7E2E" w:rsidP="00FB7E2E">
      <w:pPr>
        <w:pStyle w:val="Odlomakpopisa"/>
        <w:overflowPunct w:val="0"/>
        <w:autoSpaceDE w:val="0"/>
        <w:ind w:right="-41"/>
        <w:jc w:val="center"/>
      </w:pPr>
      <w:r>
        <w:lastRenderedPageBreak/>
        <w:t>XI.</w:t>
      </w:r>
    </w:p>
    <w:p w:rsidR="00FB7E2E" w:rsidRDefault="00FB7E2E" w:rsidP="00FB7E2E">
      <w:pPr>
        <w:pStyle w:val="Odlomakpopisa"/>
        <w:overflowPunct w:val="0"/>
        <w:autoSpaceDE w:val="0"/>
        <w:ind w:right="-41"/>
        <w:jc w:val="center"/>
      </w:pPr>
    </w:p>
    <w:p w:rsidR="00FB7E2E" w:rsidRPr="00A616D7" w:rsidRDefault="00FB7E2E" w:rsidP="00FB7E2E">
      <w:pPr>
        <w:pStyle w:val="Odlomakpopisa"/>
        <w:ind w:left="0"/>
        <w:jc w:val="both"/>
      </w:pPr>
      <w:r w:rsidRPr="00A616D7">
        <w:t xml:space="preserve">Ovaj Javni poziv objavljuje se na  Internet stranici Koprivničko-križevačke županije </w:t>
      </w:r>
      <w:hyperlink r:id="rId14" w:history="1">
        <w:r w:rsidRPr="00A616D7">
          <w:rPr>
            <w:rStyle w:val="Hiperveza"/>
          </w:rPr>
          <w:t>www.kckzz.hr</w:t>
        </w:r>
      </w:hyperlink>
      <w:r w:rsidRPr="00A616D7">
        <w:t xml:space="preserve">/  (Javni pozivi) i u tjednom listu Podravski list. </w:t>
      </w:r>
    </w:p>
    <w:p w:rsidR="00DC53B6" w:rsidRDefault="00DC53B6" w:rsidP="00FB7E2E">
      <w:pPr>
        <w:pStyle w:val="Odlomakpopisa"/>
        <w:ind w:left="0"/>
        <w:jc w:val="both"/>
      </w:pPr>
    </w:p>
    <w:p w:rsidR="00FB7E2E" w:rsidRPr="00A616D7" w:rsidRDefault="00FB7E2E" w:rsidP="00FB7E2E">
      <w:pPr>
        <w:pStyle w:val="Odlomakpopisa"/>
        <w:ind w:left="0"/>
        <w:jc w:val="both"/>
      </w:pPr>
      <w:r w:rsidRPr="00A616D7">
        <w:t>Sve informacije možete dobiti u Upravnom odjelu za gospodarstvo, komunalne djelatnosti i poljoprivredu, soba 61/II, na telefon 658-235 ili na e-mail:jasna.sabolic@kckzz.hr.</w:t>
      </w:r>
    </w:p>
    <w:p w:rsidR="00BF53AF" w:rsidRDefault="00BF53AF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DC53B6" w:rsidRDefault="00DC53B6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C72DF4" w:rsidRDefault="00C72DF4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C72DF4" w:rsidRPr="00C72DF4" w:rsidRDefault="00C72DF4" w:rsidP="00C72DF4">
      <w:pPr>
        <w:overflowPunct w:val="0"/>
        <w:autoSpaceDE w:val="0"/>
        <w:ind w:right="-41"/>
        <w:jc w:val="center"/>
        <w:rPr>
          <w:b/>
        </w:rPr>
      </w:pPr>
      <w:r w:rsidRPr="00C72DF4">
        <w:rPr>
          <w:b/>
        </w:rPr>
        <w:t>ŽUPAN</w:t>
      </w:r>
    </w:p>
    <w:p w:rsidR="00C72DF4" w:rsidRPr="00C72DF4" w:rsidRDefault="00C72DF4" w:rsidP="00C72DF4">
      <w:pPr>
        <w:overflowPunct w:val="0"/>
        <w:autoSpaceDE w:val="0"/>
        <w:ind w:right="-41"/>
        <w:jc w:val="center"/>
        <w:rPr>
          <w:b/>
        </w:rPr>
      </w:pPr>
      <w:r w:rsidRPr="00C72DF4">
        <w:rPr>
          <w:b/>
        </w:rPr>
        <w:t>KOPRIVNIČKO-KRIŽEVAČKE ŽUPANIJE</w:t>
      </w:r>
    </w:p>
    <w:p w:rsidR="00C72DF4" w:rsidRPr="00C72DF4" w:rsidRDefault="00C72DF4" w:rsidP="00C72DF4">
      <w:pPr>
        <w:overflowPunct w:val="0"/>
        <w:autoSpaceDE w:val="0"/>
        <w:ind w:right="-41"/>
        <w:jc w:val="center"/>
      </w:pPr>
    </w:p>
    <w:p w:rsidR="00C72DF4" w:rsidRDefault="00C72DF4" w:rsidP="00C72DF4">
      <w:pPr>
        <w:overflowPunct w:val="0"/>
        <w:autoSpaceDE w:val="0"/>
        <w:ind w:right="-41"/>
        <w:jc w:val="center"/>
        <w:rPr>
          <w:color w:val="FF0000"/>
        </w:rPr>
      </w:pPr>
    </w:p>
    <w:p w:rsidR="00940C95" w:rsidRDefault="00940C95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C72DF4" w:rsidRDefault="00C72DF4" w:rsidP="006C3FA3">
      <w:pPr>
        <w:overflowPunct w:val="0"/>
        <w:autoSpaceDE w:val="0"/>
        <w:ind w:right="-41"/>
        <w:jc w:val="both"/>
        <w:rPr>
          <w:color w:val="FF0000"/>
        </w:rPr>
      </w:pPr>
    </w:p>
    <w:p w:rsidR="006C3FA3" w:rsidRPr="00BF53AF" w:rsidRDefault="006C3FA3" w:rsidP="006C3FA3">
      <w:pPr>
        <w:overflowPunct w:val="0"/>
        <w:autoSpaceDE w:val="0"/>
        <w:ind w:right="-41"/>
        <w:jc w:val="both"/>
      </w:pPr>
      <w:r w:rsidRPr="00BF53AF">
        <w:t>KLASA:</w:t>
      </w:r>
      <w:r w:rsidR="00BF53AF" w:rsidRPr="00BF53AF">
        <w:t xml:space="preserve">302-02/19-01/24 </w:t>
      </w:r>
    </w:p>
    <w:p w:rsidR="006C3FA3" w:rsidRPr="00BF53AF" w:rsidRDefault="00BF53AF" w:rsidP="006C3FA3">
      <w:pPr>
        <w:overflowPunct w:val="0"/>
        <w:autoSpaceDE w:val="0"/>
        <w:ind w:right="-41"/>
        <w:jc w:val="both"/>
      </w:pPr>
      <w:r w:rsidRPr="00BF53AF">
        <w:t>URBROJ:</w:t>
      </w:r>
      <w:r w:rsidR="006C3FA3" w:rsidRPr="00BF53AF">
        <w:t>21</w:t>
      </w:r>
      <w:r w:rsidR="000A0AD9">
        <w:t>37/1-04/08-20-16</w:t>
      </w:r>
    </w:p>
    <w:p w:rsidR="00DC53B6" w:rsidRDefault="00DC53B6" w:rsidP="00E70919">
      <w:pPr>
        <w:overflowPunct w:val="0"/>
        <w:autoSpaceDE w:val="0"/>
        <w:ind w:right="-41"/>
        <w:jc w:val="both"/>
      </w:pPr>
    </w:p>
    <w:p w:rsidR="00E70919" w:rsidRDefault="00BF53AF" w:rsidP="00E70919">
      <w:pPr>
        <w:overflowPunct w:val="0"/>
        <w:autoSpaceDE w:val="0"/>
        <w:ind w:right="-41"/>
        <w:jc w:val="both"/>
      </w:pPr>
      <w:r w:rsidRPr="00BF53AF">
        <w:t>Koprivnica</w:t>
      </w:r>
      <w:r w:rsidR="006C3FA3" w:rsidRPr="00BF53AF">
        <w:t xml:space="preserve">, </w:t>
      </w:r>
      <w:r w:rsidR="000A0AD9">
        <w:t>5</w:t>
      </w:r>
      <w:r w:rsidR="006C3FA3" w:rsidRPr="00BF53AF">
        <w:t xml:space="preserve">. </w:t>
      </w:r>
      <w:r w:rsidR="000A0AD9">
        <w:t>svibanj</w:t>
      </w:r>
      <w:r w:rsidR="006C3FA3" w:rsidRPr="00BF53AF">
        <w:t xml:space="preserve"> 2020. </w:t>
      </w:r>
      <w:r w:rsidR="00E70919">
        <w:tab/>
      </w:r>
    </w:p>
    <w:p w:rsidR="00E70919" w:rsidRDefault="00E70919" w:rsidP="00E70919">
      <w:pPr>
        <w:overflowPunct w:val="0"/>
        <w:autoSpaceDE w:val="0"/>
        <w:ind w:right="-41"/>
        <w:jc w:val="both"/>
      </w:pPr>
      <w:r>
        <w:tab/>
      </w:r>
      <w:r>
        <w:tab/>
      </w:r>
      <w:r>
        <w:tab/>
      </w:r>
      <w:r>
        <w:tab/>
      </w:r>
    </w:p>
    <w:p w:rsidR="00DC53B6" w:rsidRDefault="00DC53B6" w:rsidP="00E70919">
      <w:pPr>
        <w:overflowPunct w:val="0"/>
        <w:autoSpaceDE w:val="0"/>
        <w:ind w:right="-41"/>
        <w:jc w:val="both"/>
      </w:pPr>
    </w:p>
    <w:p w:rsidR="00DC53B6" w:rsidRDefault="00DC53B6" w:rsidP="00E70919">
      <w:pPr>
        <w:overflowPunct w:val="0"/>
        <w:autoSpaceDE w:val="0"/>
        <w:ind w:right="-41"/>
        <w:jc w:val="both"/>
      </w:pPr>
    </w:p>
    <w:p w:rsidR="00E70919" w:rsidRPr="00DC53B6" w:rsidRDefault="00E70919" w:rsidP="00E70919">
      <w:pPr>
        <w:overflowPunct w:val="0"/>
        <w:autoSpaceDE w:val="0"/>
        <w:ind w:left="5664" w:right="-41" w:firstLine="708"/>
        <w:jc w:val="both"/>
        <w:rPr>
          <w:b/>
        </w:rPr>
      </w:pPr>
      <w:r w:rsidRPr="00DC53B6">
        <w:rPr>
          <w:b/>
        </w:rPr>
        <w:t>Ž U P A N :</w:t>
      </w:r>
    </w:p>
    <w:p w:rsidR="00BF53AF" w:rsidRPr="00DC53B6" w:rsidRDefault="00E70919" w:rsidP="00E70919">
      <w:pPr>
        <w:overflowPunct w:val="0"/>
        <w:autoSpaceDE w:val="0"/>
        <w:ind w:right="-41"/>
        <w:jc w:val="both"/>
        <w:rPr>
          <w:b/>
        </w:rPr>
      </w:pP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</w:r>
      <w:r w:rsidRPr="00DC53B6">
        <w:rPr>
          <w:b/>
        </w:rPr>
        <w:tab/>
        <w:t xml:space="preserve">             Darko Koren, ing. građ.</w:t>
      </w:r>
    </w:p>
    <w:sectPr w:rsidR="00BF53AF" w:rsidRPr="00DC53B6" w:rsidSect="00A434F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F8" w:rsidRDefault="00F65FF8" w:rsidP="00FB7E2E">
      <w:r>
        <w:separator/>
      </w:r>
    </w:p>
  </w:endnote>
  <w:endnote w:type="continuationSeparator" w:id="0">
    <w:p w:rsidR="00F65FF8" w:rsidRDefault="00F65FF8" w:rsidP="00FB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F8" w:rsidRDefault="00F65FF8" w:rsidP="00FB7E2E">
      <w:r>
        <w:separator/>
      </w:r>
    </w:p>
  </w:footnote>
  <w:footnote w:type="continuationSeparator" w:id="0">
    <w:p w:rsidR="00F65FF8" w:rsidRDefault="00F65FF8" w:rsidP="00FB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69C"/>
    <w:multiLevelType w:val="hybridMultilevel"/>
    <w:tmpl w:val="37AC3E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A02"/>
    <w:multiLevelType w:val="hybridMultilevel"/>
    <w:tmpl w:val="DF0C7DA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CB2972"/>
    <w:multiLevelType w:val="hybridMultilevel"/>
    <w:tmpl w:val="B540E7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BD7"/>
    <w:multiLevelType w:val="hybridMultilevel"/>
    <w:tmpl w:val="CFF8E3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03D00"/>
    <w:multiLevelType w:val="hybridMultilevel"/>
    <w:tmpl w:val="D65E718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B2357"/>
    <w:multiLevelType w:val="hybridMultilevel"/>
    <w:tmpl w:val="CE2862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5F59"/>
    <w:multiLevelType w:val="hybridMultilevel"/>
    <w:tmpl w:val="455091EC"/>
    <w:lvl w:ilvl="0" w:tplc="9CDC2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C56C9"/>
    <w:multiLevelType w:val="hybridMultilevel"/>
    <w:tmpl w:val="589252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16E7D"/>
    <w:multiLevelType w:val="hybridMultilevel"/>
    <w:tmpl w:val="D212B2D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ED7A7D"/>
    <w:multiLevelType w:val="hybridMultilevel"/>
    <w:tmpl w:val="DBCCE296"/>
    <w:lvl w:ilvl="0" w:tplc="041A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0" w15:restartNumberingAfterBreak="0">
    <w:nsid w:val="342E7550"/>
    <w:multiLevelType w:val="hybridMultilevel"/>
    <w:tmpl w:val="938E29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87800"/>
    <w:multiLevelType w:val="hybridMultilevel"/>
    <w:tmpl w:val="C392574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778F2"/>
    <w:multiLevelType w:val="hybridMultilevel"/>
    <w:tmpl w:val="371813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95FDD"/>
    <w:multiLevelType w:val="hybridMultilevel"/>
    <w:tmpl w:val="D57C87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D0E6A"/>
    <w:multiLevelType w:val="hybridMultilevel"/>
    <w:tmpl w:val="4702A112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B9B3375"/>
    <w:multiLevelType w:val="hybridMultilevel"/>
    <w:tmpl w:val="8154E0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458"/>
    <w:multiLevelType w:val="hybridMultilevel"/>
    <w:tmpl w:val="CFB8418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44F15"/>
    <w:multiLevelType w:val="hybridMultilevel"/>
    <w:tmpl w:val="289083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E78CA"/>
    <w:multiLevelType w:val="hybridMultilevel"/>
    <w:tmpl w:val="61E04B22"/>
    <w:lvl w:ilvl="0" w:tplc="041A000B">
      <w:start w:val="1"/>
      <w:numFmt w:val="bullet"/>
      <w:lvlText w:val=""/>
      <w:lvlJc w:val="left"/>
      <w:pPr>
        <w:ind w:left="29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19" w15:restartNumberingAfterBreak="0">
    <w:nsid w:val="64874FD2"/>
    <w:multiLevelType w:val="hybridMultilevel"/>
    <w:tmpl w:val="F60CD9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9C193E"/>
    <w:multiLevelType w:val="hybridMultilevel"/>
    <w:tmpl w:val="A12C7B7C"/>
    <w:lvl w:ilvl="0" w:tplc="041A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73C228CF"/>
    <w:multiLevelType w:val="hybridMultilevel"/>
    <w:tmpl w:val="D212B2D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BC03903"/>
    <w:multiLevelType w:val="hybridMultilevel"/>
    <w:tmpl w:val="4DBC820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0"/>
  </w:num>
  <w:num w:numId="5">
    <w:abstractNumId w:val="13"/>
  </w:num>
  <w:num w:numId="6">
    <w:abstractNumId w:val="15"/>
  </w:num>
  <w:num w:numId="7">
    <w:abstractNumId w:val="16"/>
  </w:num>
  <w:num w:numId="8">
    <w:abstractNumId w:val="19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  <w:num w:numId="15">
    <w:abstractNumId w:val="22"/>
  </w:num>
  <w:num w:numId="16">
    <w:abstractNumId w:val="8"/>
  </w:num>
  <w:num w:numId="17">
    <w:abstractNumId w:val="18"/>
  </w:num>
  <w:num w:numId="18">
    <w:abstractNumId w:val="11"/>
  </w:num>
  <w:num w:numId="19">
    <w:abstractNumId w:val="21"/>
  </w:num>
  <w:num w:numId="20">
    <w:abstractNumId w:val="7"/>
  </w:num>
  <w:num w:numId="21">
    <w:abstractNumId w:val="6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FA3"/>
    <w:rsid w:val="00044102"/>
    <w:rsid w:val="0004645B"/>
    <w:rsid w:val="000611AC"/>
    <w:rsid w:val="000A0AD9"/>
    <w:rsid w:val="000A5636"/>
    <w:rsid w:val="000F7FED"/>
    <w:rsid w:val="00163ED8"/>
    <w:rsid w:val="001A002A"/>
    <w:rsid w:val="001F5F28"/>
    <w:rsid w:val="001F77C0"/>
    <w:rsid w:val="00215055"/>
    <w:rsid w:val="0026371D"/>
    <w:rsid w:val="0026591D"/>
    <w:rsid w:val="00273528"/>
    <w:rsid w:val="0032095D"/>
    <w:rsid w:val="0034713F"/>
    <w:rsid w:val="003A06ED"/>
    <w:rsid w:val="003F18A5"/>
    <w:rsid w:val="004720A8"/>
    <w:rsid w:val="00480A05"/>
    <w:rsid w:val="004E184B"/>
    <w:rsid w:val="00511F33"/>
    <w:rsid w:val="00512B13"/>
    <w:rsid w:val="005165CF"/>
    <w:rsid w:val="00535A9E"/>
    <w:rsid w:val="00552973"/>
    <w:rsid w:val="00577A43"/>
    <w:rsid w:val="005827A1"/>
    <w:rsid w:val="005C33DF"/>
    <w:rsid w:val="005F37C4"/>
    <w:rsid w:val="0062473B"/>
    <w:rsid w:val="006669DC"/>
    <w:rsid w:val="006C3FA3"/>
    <w:rsid w:val="006E607B"/>
    <w:rsid w:val="00704CA4"/>
    <w:rsid w:val="0072702B"/>
    <w:rsid w:val="00735110"/>
    <w:rsid w:val="00750DF3"/>
    <w:rsid w:val="00757F94"/>
    <w:rsid w:val="00774A5E"/>
    <w:rsid w:val="0083048C"/>
    <w:rsid w:val="008460C0"/>
    <w:rsid w:val="00861C4E"/>
    <w:rsid w:val="00906C27"/>
    <w:rsid w:val="0092020C"/>
    <w:rsid w:val="00934E95"/>
    <w:rsid w:val="00940C95"/>
    <w:rsid w:val="00957949"/>
    <w:rsid w:val="00996388"/>
    <w:rsid w:val="009C1FE3"/>
    <w:rsid w:val="00A14044"/>
    <w:rsid w:val="00A150A2"/>
    <w:rsid w:val="00A22FDB"/>
    <w:rsid w:val="00A30E3B"/>
    <w:rsid w:val="00A434F1"/>
    <w:rsid w:val="00A4723E"/>
    <w:rsid w:val="00B54550"/>
    <w:rsid w:val="00B56D53"/>
    <w:rsid w:val="00B932F4"/>
    <w:rsid w:val="00BC3423"/>
    <w:rsid w:val="00BD357B"/>
    <w:rsid w:val="00BF53AF"/>
    <w:rsid w:val="00BF6825"/>
    <w:rsid w:val="00C22994"/>
    <w:rsid w:val="00C53584"/>
    <w:rsid w:val="00C72DF4"/>
    <w:rsid w:val="00C74FA7"/>
    <w:rsid w:val="00C8432F"/>
    <w:rsid w:val="00C8507D"/>
    <w:rsid w:val="00CA17DE"/>
    <w:rsid w:val="00CA55F9"/>
    <w:rsid w:val="00CB06C9"/>
    <w:rsid w:val="00DC53B6"/>
    <w:rsid w:val="00E156AE"/>
    <w:rsid w:val="00E17396"/>
    <w:rsid w:val="00E1758E"/>
    <w:rsid w:val="00E70919"/>
    <w:rsid w:val="00ED3678"/>
    <w:rsid w:val="00F44F9C"/>
    <w:rsid w:val="00F65FF8"/>
    <w:rsid w:val="00F80EC9"/>
    <w:rsid w:val="00FB7E2E"/>
    <w:rsid w:val="00FC1345"/>
    <w:rsid w:val="00FD2188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183E"/>
  <w15:docId w15:val="{EDA661A9-ED98-4A18-84D0-C3EEFB85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1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591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6E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FB7E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7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B7E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7E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or.hr/" TargetMode="External"/><Relationship Id="rId13" Type="http://schemas.openxmlformats.org/officeDocument/2006/relationships/hyperlink" Target="mailto:pisarn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kz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bor.hr/kreditni_program/investicije-privatnog-sektor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bor.hr/kreditni_program/poduzetnistvo-mladih-zena-i-pocet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or.hr/" TargetMode="External"/><Relationship Id="rId14" Type="http://schemas.openxmlformats.org/officeDocument/2006/relationships/hyperlink" Target="http://www.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FCD12-4849-4A3A-A147-08E32B0F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23</cp:revision>
  <cp:lastPrinted>2020-05-05T12:46:00Z</cp:lastPrinted>
  <dcterms:created xsi:type="dcterms:W3CDTF">2020-04-04T11:47:00Z</dcterms:created>
  <dcterms:modified xsi:type="dcterms:W3CDTF">2020-05-15T08:13:00Z</dcterms:modified>
</cp:coreProperties>
</file>