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CD3B44" w:rsidRPr="00CD3B44" w:rsidTr="007F3F00">
        <w:tc>
          <w:tcPr>
            <w:tcW w:w="837" w:type="dxa"/>
          </w:tcPr>
          <w:p w:rsidR="00CD3B44" w:rsidRPr="00CD3B44" w:rsidRDefault="00CD3B44" w:rsidP="007F3F00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594800579" r:id="rId7"/>
              </w:object>
            </w: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val="hr-HR"/>
              </w:rPr>
            </w:pP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sz w:val="16"/>
                <w:szCs w:val="20"/>
                <w:lang w:val="hr-HR"/>
              </w:rPr>
              <w:t>REPUBLIKA HRVATSKA</w:t>
            </w:r>
          </w:p>
        </w:tc>
      </w:tr>
      <w:tr w:rsidR="00CD3B44" w:rsidRPr="00CD3B44" w:rsidTr="007F3F00">
        <w:trPr>
          <w:trHeight w:val="812"/>
        </w:trPr>
        <w:tc>
          <w:tcPr>
            <w:tcW w:w="837" w:type="dxa"/>
            <w:hideMark/>
          </w:tcPr>
          <w:p w:rsidR="00CD3B44" w:rsidRPr="00CD3B44" w:rsidRDefault="00CD3B44" w:rsidP="007F3F00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object w:dxaOrig="825" w:dyaOrig="902">
                <v:shape id="_x0000_i1026" type="#_x0000_t75" style="width:36.75pt;height:40.5pt" o:ole="" fillcolor="window">
                  <v:imagedata r:id="rId8" o:title=""/>
                </v:shape>
                <o:OLEObject Type="Embed" ProgID="CPaint5" ShapeID="_x0000_i1026" DrawAspect="Content" ObjectID="_1594800580" r:id="rId9"/>
              </w:object>
            </w:r>
          </w:p>
        </w:tc>
        <w:tc>
          <w:tcPr>
            <w:tcW w:w="4320" w:type="dxa"/>
            <w:hideMark/>
          </w:tcPr>
          <w:p w:rsidR="00CD3B44" w:rsidRPr="00CD3B44" w:rsidRDefault="00CD3B44" w:rsidP="007F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hr-HR"/>
              </w:rPr>
              <w:t>KOPRIVNIČKO - KRIŽEVAČKA ŽUPANIJA</w:t>
            </w: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Upravni odjel za gospodarstvo, komunalne djelatnosti i poljoprivredu  </w:t>
            </w:r>
          </w:p>
        </w:tc>
      </w:tr>
    </w:tbl>
    <w:p w:rsidR="00CD3B44" w:rsidRPr="00CD3B44" w:rsidRDefault="00CD3B44" w:rsidP="00CD3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</w:p>
    <w:p w:rsidR="00CD3B44" w:rsidRPr="00CD3B44" w:rsidRDefault="0096242A" w:rsidP="00CD3B4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 320-02/18-01/5</w:t>
      </w:r>
      <w:r w:rsidR="00CD3B44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</w:p>
    <w:p w:rsidR="00CD3B44" w:rsidRPr="00CD3B44" w:rsidRDefault="00CD3B44" w:rsidP="00CD3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URBROJ: 2137/1-04/</w:t>
      </w:r>
      <w:r w:rsidR="00E21E1E">
        <w:rPr>
          <w:rFonts w:ascii="Times New Roman" w:eastAsia="Times New Roman" w:hAnsi="Times New Roman" w:cs="Times New Roman"/>
          <w:sz w:val="24"/>
          <w:szCs w:val="24"/>
          <w:lang w:val="hr-HR"/>
        </w:rPr>
        <w:t>12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>-18-</w:t>
      </w:r>
      <w:r w:rsidR="0096242A">
        <w:rPr>
          <w:rFonts w:ascii="Times New Roman" w:eastAsia="Times New Roman" w:hAnsi="Times New Roman" w:cs="Times New Roman"/>
          <w:sz w:val="24"/>
          <w:szCs w:val="24"/>
          <w:lang w:val="hr-HR"/>
        </w:rPr>
        <w:t>05</w:t>
      </w:r>
    </w:p>
    <w:p w:rsidR="00CD3B44" w:rsidRPr="00CD3B44" w:rsidRDefault="00CD3B44" w:rsidP="00CD3B44">
      <w:pPr>
        <w:tabs>
          <w:tab w:val="left" w:pos="35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Koprivnica, </w:t>
      </w:r>
      <w:r w:rsidR="0096242A">
        <w:rPr>
          <w:rFonts w:ascii="Times New Roman" w:eastAsia="Times New Roman" w:hAnsi="Times New Roman" w:cs="Times New Roman"/>
          <w:sz w:val="24"/>
          <w:szCs w:val="24"/>
          <w:lang w:val="hr-HR"/>
        </w:rPr>
        <w:t>03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96242A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2018.</w:t>
      </w: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ŽUPANIJA:  KOPRIVNIČKO-KRIŽEVAČKA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PROGRAM RASPOLAGANJA POLJOPRIVREDNIM ZEMLJIŠTEM U VLASNIŠTVU REPUBLIKE HRVATSKE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OPĆINU </w:t>
      </w:r>
      <w:r w:rsidR="000F4BC9">
        <w:rPr>
          <w:rFonts w:ascii="Times New Roman" w:hAnsi="Times New Roman" w:cs="Times New Roman"/>
          <w:b/>
          <w:sz w:val="28"/>
          <w:szCs w:val="28"/>
          <w:lang w:val="hr-HR"/>
        </w:rPr>
        <w:t>SOKOLOVAC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  <w:r w:rsidRPr="00CD3B44">
        <w:rPr>
          <w:rFonts w:ascii="Times New Roman" w:hAnsi="Times New Roman" w:cs="Times New Roman"/>
          <w:sz w:val="24"/>
          <w:szCs w:val="28"/>
          <w:lang w:val="hr-HR"/>
        </w:rPr>
        <w:lastRenderedPageBreak/>
        <w:t xml:space="preserve">Na temelju članka 101. stavka 5. Zakona o poljoprivrednom zemljištu („Narodne novine“ broj  20/18.) i članka 10. Odluke o upravnim tijelima Koprivničko-križevačke županije („Službeni glasnik Koprivničko-križevačke županije“ broj 7/15., 12/15., 2/16., 4/16.-pročišćeni tekst i 19/17.), Koprivničko-križevačka županija, Upravni odjel za gospodarstvo, komunalne djelatnosti i poljoprivredu dana </w:t>
      </w:r>
      <w:r w:rsidR="000F4BC9">
        <w:rPr>
          <w:rFonts w:ascii="Times New Roman" w:hAnsi="Times New Roman" w:cs="Times New Roman"/>
          <w:sz w:val="24"/>
          <w:szCs w:val="28"/>
          <w:lang w:val="hr-HR"/>
        </w:rPr>
        <w:t>03</w:t>
      </w:r>
      <w:r w:rsidRPr="00CD3B44">
        <w:rPr>
          <w:rFonts w:ascii="Times New Roman" w:hAnsi="Times New Roman" w:cs="Times New Roman"/>
          <w:sz w:val="24"/>
          <w:szCs w:val="28"/>
          <w:lang w:val="hr-HR"/>
        </w:rPr>
        <w:t xml:space="preserve">. </w:t>
      </w:r>
      <w:r w:rsidR="000F4BC9">
        <w:rPr>
          <w:rFonts w:ascii="Times New Roman" w:hAnsi="Times New Roman" w:cs="Times New Roman"/>
          <w:sz w:val="24"/>
          <w:szCs w:val="28"/>
          <w:lang w:val="hr-HR"/>
        </w:rPr>
        <w:t>kolovoza</w:t>
      </w:r>
      <w:r w:rsidRPr="00CD3B44">
        <w:rPr>
          <w:rFonts w:ascii="Times New Roman" w:hAnsi="Times New Roman" w:cs="Times New Roman"/>
          <w:sz w:val="24"/>
          <w:szCs w:val="28"/>
          <w:lang w:val="hr-HR"/>
        </w:rPr>
        <w:t xml:space="preserve"> 2018. godine, donio je </w:t>
      </w: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Program raspolaganja poljoprivrednim zemljištem u vlasništvu</w:t>
      </w: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Republike Hrvatske za Općinu </w:t>
      </w:r>
      <w:r w:rsidR="000F4BC9">
        <w:rPr>
          <w:rFonts w:ascii="Times New Roman" w:hAnsi="Times New Roman" w:cs="Times New Roman"/>
          <w:b/>
          <w:sz w:val="28"/>
          <w:szCs w:val="28"/>
          <w:lang w:val="hr-HR"/>
        </w:rPr>
        <w:t>Sokolovac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A5" w:rsidRDefault="00C51BA5" w:rsidP="00C51BA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51BA5" w:rsidRDefault="00C51BA5" w:rsidP="00C51BA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51BA5" w:rsidRDefault="00CD3B44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44">
        <w:rPr>
          <w:rFonts w:ascii="Times New Roman" w:hAnsi="Times New Roman" w:cs="Times New Roman"/>
          <w:b/>
          <w:sz w:val="28"/>
          <w:szCs w:val="28"/>
        </w:rPr>
        <w:t>SADRŽAJ PROGRAMA</w:t>
      </w: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44" w:rsidRPr="00773930" w:rsidRDefault="00CD3B44" w:rsidP="00CD3B4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0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Općine </w:t>
      </w:r>
      <w:r w:rsidR="000F4BC9">
        <w:rPr>
          <w:rFonts w:ascii="Times New Roman" w:hAnsi="Times New Roman" w:cs="Times New Roman"/>
          <w:sz w:val="24"/>
          <w:szCs w:val="24"/>
        </w:rPr>
        <w:t>Sokolovac</w:t>
      </w:r>
      <w:r w:rsidRPr="00773930">
        <w:rPr>
          <w:rFonts w:ascii="Times New Roman" w:hAnsi="Times New Roman" w:cs="Times New Roman"/>
          <w:sz w:val="24"/>
          <w:szCs w:val="24"/>
        </w:rPr>
        <w:t xml:space="preserve"> iznosi</w:t>
      </w:r>
      <w:r w:rsidR="00F733B9">
        <w:rPr>
          <w:rFonts w:ascii="Times New Roman" w:hAnsi="Times New Roman" w:cs="Times New Roman"/>
          <w:sz w:val="24"/>
          <w:szCs w:val="24"/>
        </w:rPr>
        <w:t>:</w:t>
      </w:r>
      <w:r w:rsidRPr="00773930">
        <w:rPr>
          <w:rFonts w:ascii="Times New Roman" w:hAnsi="Times New Roman" w:cs="Times New Roman"/>
          <w:sz w:val="24"/>
          <w:szCs w:val="24"/>
        </w:rPr>
        <w:t xml:space="preserve"> </w:t>
      </w:r>
      <w:r w:rsidR="000F4BC9">
        <w:rPr>
          <w:rFonts w:ascii="Times New Roman" w:hAnsi="Times New Roman" w:cs="Times New Roman"/>
          <w:sz w:val="24"/>
          <w:szCs w:val="24"/>
        </w:rPr>
        <w:t>6</w:t>
      </w:r>
      <w:r w:rsidR="00C73400">
        <w:rPr>
          <w:rFonts w:ascii="Times New Roman" w:hAnsi="Times New Roman" w:cs="Times New Roman"/>
          <w:sz w:val="24"/>
          <w:szCs w:val="24"/>
        </w:rPr>
        <w:t>7,7378</w:t>
      </w:r>
      <w:r w:rsidR="00773930" w:rsidRPr="00773930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773930" w:rsidRPr="00773930" w:rsidRDefault="00773930" w:rsidP="00CD3B4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0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773930" w:rsidRPr="00773930" w:rsidRDefault="00773930" w:rsidP="0077393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71FE" w:rsidRPr="00C77B9A" w:rsidRDefault="00773930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T-1 Prikaz dosadašnjeg raspolaganja po svim oblicima – površina u ha</w:t>
      </w:r>
    </w:p>
    <w:tbl>
      <w:tblPr>
        <w:tblStyle w:val="Reetkatablice"/>
        <w:tblW w:w="0" w:type="auto"/>
        <w:tblLook w:val="04A0"/>
      </w:tblPr>
      <w:tblGrid>
        <w:gridCol w:w="1384"/>
        <w:gridCol w:w="3827"/>
        <w:gridCol w:w="1755"/>
        <w:gridCol w:w="2322"/>
      </w:tblGrid>
      <w:tr w:rsidR="000871FE" w:rsidRPr="000871FE" w:rsidTr="00684897">
        <w:tc>
          <w:tcPr>
            <w:tcW w:w="1384" w:type="dxa"/>
            <w:vAlign w:val="center"/>
          </w:tcPr>
          <w:p w:rsidR="000871FE" w:rsidRPr="004E2C8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827" w:type="dxa"/>
            <w:vAlign w:val="center"/>
          </w:tcPr>
          <w:p w:rsidR="000871FE" w:rsidRDefault="00BC2497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OBLIK RASPOLAGANJA</w:t>
            </w:r>
          </w:p>
          <w:p w:rsidR="00BC2497" w:rsidRPr="004E2C8E" w:rsidRDefault="00BC2497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(skraćeni naziv iz ugovora)</w:t>
            </w:r>
          </w:p>
        </w:tc>
        <w:tc>
          <w:tcPr>
            <w:tcW w:w="1755" w:type="dxa"/>
            <w:vAlign w:val="center"/>
          </w:tcPr>
          <w:p w:rsidR="000871FE" w:rsidRPr="004E2C8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UKUPAN BROJ UGOVORA</w:t>
            </w:r>
          </w:p>
        </w:tc>
        <w:tc>
          <w:tcPr>
            <w:tcW w:w="2322" w:type="dxa"/>
            <w:vAlign w:val="center"/>
          </w:tcPr>
          <w:p w:rsidR="000871FE" w:rsidRPr="004E2C8E" w:rsidRDefault="000871FE" w:rsidP="00BC24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 xml:space="preserve">UKUPNA POVRŠINA PO UGOVORIMA </w:t>
            </w:r>
          </w:p>
        </w:tc>
      </w:tr>
      <w:tr w:rsidR="000871FE" w:rsidRPr="000871FE" w:rsidTr="00684897">
        <w:tc>
          <w:tcPr>
            <w:tcW w:w="1384" w:type="dxa"/>
          </w:tcPr>
          <w:p w:rsidR="008C4ED9" w:rsidRPr="004E2C8E" w:rsidRDefault="008C4ED9" w:rsidP="004E2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ED9" w:rsidRPr="004E2C8E" w:rsidRDefault="001F6E0C" w:rsidP="004E2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ED9"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871FE" w:rsidRPr="004E2C8E" w:rsidRDefault="000871FE" w:rsidP="00087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privremeno korištenje</w:t>
            </w:r>
          </w:p>
        </w:tc>
        <w:tc>
          <w:tcPr>
            <w:tcW w:w="1755" w:type="dxa"/>
          </w:tcPr>
          <w:p w:rsidR="000871FE" w:rsidRDefault="000871FE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ED9" w:rsidRPr="000871FE" w:rsidRDefault="003B27D8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0871FE" w:rsidRDefault="000871FE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ED9" w:rsidRPr="001F6E0C" w:rsidRDefault="001F6E0C" w:rsidP="004E2C8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1F6E0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5,8731</w:t>
            </w:r>
          </w:p>
        </w:tc>
      </w:tr>
      <w:tr w:rsidR="000871FE" w:rsidRPr="000871FE" w:rsidTr="00684897">
        <w:tc>
          <w:tcPr>
            <w:tcW w:w="1384" w:type="dxa"/>
          </w:tcPr>
          <w:p w:rsidR="000871FE" w:rsidRPr="000871FE" w:rsidRDefault="000871FE" w:rsidP="00087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71FE" w:rsidRPr="000871FE" w:rsidRDefault="000871FE" w:rsidP="00087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1FE" w:rsidRPr="000871FE" w:rsidRDefault="001F6E0C" w:rsidP="00AF1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0871FE" w:rsidRPr="000871FE" w:rsidRDefault="001F6E0C" w:rsidP="00AF1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5,8731</w:t>
            </w:r>
          </w:p>
        </w:tc>
      </w:tr>
    </w:tbl>
    <w:p w:rsidR="00684897" w:rsidRDefault="00684897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E21E1E" w:rsidRDefault="00E21E1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E21E1E" w:rsidRDefault="00E21E1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84897" w:rsidRDefault="00684897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73930" w:rsidRPr="00773930" w:rsidRDefault="00773930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0871FE" w:rsidRDefault="00773930" w:rsidP="00684897">
      <w:pPr>
        <w:pStyle w:val="Odlomakpopisa"/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684897">
        <w:rPr>
          <w:rFonts w:ascii="Times New Roman" w:eastAsia="Calibri" w:hAnsi="Times New Roman" w:cs="Times New Roman"/>
          <w:sz w:val="24"/>
          <w:szCs w:val="24"/>
          <w:lang w:val="hr-BA"/>
        </w:rPr>
        <w:lastRenderedPageBreak/>
        <w:t>Sumarni pregled površina poljoprivrednog zemljišta u vlasništvu države prema oblicima raspolaganja</w:t>
      </w:r>
    </w:p>
    <w:p w:rsidR="00684897" w:rsidRDefault="00684897" w:rsidP="00684897">
      <w:pPr>
        <w:pStyle w:val="Odlomakpopisa"/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84897" w:rsidRPr="00684897" w:rsidRDefault="00684897" w:rsidP="00684897">
      <w:pPr>
        <w:pStyle w:val="Odlomakpopisa"/>
        <w:spacing w:after="200"/>
        <w:ind w:left="36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684897">
        <w:rPr>
          <w:rFonts w:ascii="Times New Roman" w:eastAsia="Calibri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0871FE" w:rsidRPr="000871FE" w:rsidTr="00273C8D"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POVRŠINA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NAPOMENA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0871FE" w:rsidRPr="000871FE" w:rsidTr="00273C8D">
        <w:tc>
          <w:tcPr>
            <w:tcW w:w="3096" w:type="dxa"/>
          </w:tcPr>
          <w:p w:rsidR="00C51BA5" w:rsidRDefault="00C51BA5" w:rsidP="000871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povrat</w:t>
            </w:r>
          </w:p>
        </w:tc>
        <w:tc>
          <w:tcPr>
            <w:tcW w:w="3096" w:type="dxa"/>
          </w:tcPr>
          <w:p w:rsidR="00C51BA5" w:rsidRDefault="00C51BA5" w:rsidP="004E2C8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0871FE" w:rsidRPr="00E32068" w:rsidRDefault="001F6E0C" w:rsidP="004E2C8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20,4279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E21E1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za </w:t>
            </w:r>
            <w:r w:rsidRPr="000871FE">
              <w:rPr>
                <w:rFonts w:ascii="Times New Roman" w:eastAsia="Calibri" w:hAnsi="Times New Roman" w:cs="Times New Roman"/>
                <w:b/>
              </w:rPr>
              <w:t>prodaju</w:t>
            </w:r>
            <w:r w:rsidRPr="000871F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>- jednokratno, maksimalno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 do 25%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4E2C8E" w:rsidRPr="00E32068" w:rsidRDefault="001F6E0C" w:rsidP="00F50814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14,1847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E32068" w:rsidRDefault="00E32068" w:rsidP="000871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</w:t>
            </w:r>
          </w:p>
        </w:tc>
        <w:tc>
          <w:tcPr>
            <w:tcW w:w="3096" w:type="dxa"/>
          </w:tcPr>
          <w:p w:rsidR="00E32068" w:rsidRPr="00E32068" w:rsidRDefault="00E32068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0871FE" w:rsidRPr="00E32068" w:rsidRDefault="001F6E0C" w:rsidP="00C9183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33,1252</w:t>
            </w:r>
          </w:p>
        </w:tc>
        <w:tc>
          <w:tcPr>
            <w:tcW w:w="3096" w:type="dxa"/>
          </w:tcPr>
          <w:p w:rsidR="000871FE" w:rsidRPr="00E32068" w:rsidRDefault="000871FE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 za ribnjake</w:t>
            </w:r>
          </w:p>
        </w:tc>
        <w:tc>
          <w:tcPr>
            <w:tcW w:w="3096" w:type="dxa"/>
          </w:tcPr>
          <w:p w:rsidR="000871FE" w:rsidRPr="00E32068" w:rsidRDefault="0068489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 zajedničkih pašnjaka</w:t>
            </w:r>
          </w:p>
        </w:tc>
        <w:tc>
          <w:tcPr>
            <w:tcW w:w="3096" w:type="dxa"/>
          </w:tcPr>
          <w:p w:rsidR="000871FE" w:rsidRPr="00E32068" w:rsidRDefault="0068489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 xml:space="preserve">ostale namjene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- jednokratno, maksimalno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>do 5%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E32068" w:rsidRPr="00E32068" w:rsidRDefault="006E276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</w:tbl>
    <w:p w:rsidR="00C51BA5" w:rsidRDefault="00C51BA5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0871FE" w:rsidRPr="000871FE" w:rsidRDefault="000871F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71FE">
        <w:rPr>
          <w:rFonts w:ascii="Times New Roman" w:eastAsia="Calibri" w:hAnsi="Times New Roman" w:cs="Times New Roman"/>
          <w:b/>
          <w:sz w:val="24"/>
          <w:szCs w:val="24"/>
          <w:lang w:val="hr-HR"/>
        </w:rPr>
        <w:t>MAKSIMALNA POVRŠINA ZA ZAKUP iznosi:</w:t>
      </w:r>
      <w:r w:rsidR="003B27D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1F6E0C" w:rsidRPr="006C4CFD">
        <w:rPr>
          <w:rFonts w:ascii="Times New Roman" w:eastAsia="Calibri" w:hAnsi="Times New Roman" w:cs="Times New Roman"/>
          <w:b/>
          <w:sz w:val="24"/>
          <w:szCs w:val="24"/>
          <w:lang w:val="hr-HR"/>
        </w:rPr>
        <w:t>3</w:t>
      </w:r>
      <w:r w:rsidR="006C4CFD" w:rsidRPr="006C4CFD">
        <w:rPr>
          <w:rFonts w:ascii="Times New Roman" w:eastAsia="Calibri" w:hAnsi="Times New Roman" w:cs="Times New Roman"/>
          <w:b/>
          <w:sz w:val="24"/>
          <w:szCs w:val="24"/>
          <w:lang w:val="hr-HR"/>
        </w:rPr>
        <w:t>,0493</w:t>
      </w:r>
      <w:r w:rsidR="00841A77" w:rsidRPr="00F5081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3B27D8" w:rsidRPr="00F50814">
        <w:rPr>
          <w:rFonts w:ascii="Times New Roman" w:eastAsia="Calibri" w:hAnsi="Times New Roman" w:cs="Times New Roman"/>
          <w:b/>
          <w:sz w:val="24"/>
          <w:szCs w:val="24"/>
          <w:lang w:val="hr-HR"/>
        </w:rPr>
        <w:t>ha</w:t>
      </w:r>
    </w:p>
    <w:p w:rsidR="00164D70" w:rsidRDefault="00684897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Tablica Prikaz raspolaganja po katastarskim česticama i oblicima raspolaganja je u prilogu u Excelu.</w:t>
      </w:r>
    </w:p>
    <w:p w:rsidR="000824CC" w:rsidRDefault="000824CC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9C0240" w:rsidRDefault="009C0240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0871FE" w:rsidRPr="000871FE" w:rsidRDefault="00C51BA5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 xml:space="preserve"> </w:t>
      </w:r>
      <w:r w:rsidR="000871FE" w:rsidRPr="000871FE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NAPOMENA/OBRAZLOŽENJE</w:t>
      </w:r>
      <w:r w:rsidR="000D6BE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UZ PROGRAM RASPOLAGANJA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0871FE" w:rsidRPr="00F733B9" w:rsidTr="00FC4CD1">
        <w:trPr>
          <w:trHeight w:val="2150"/>
        </w:trPr>
        <w:tc>
          <w:tcPr>
            <w:tcW w:w="9322" w:type="dxa"/>
          </w:tcPr>
          <w:p w:rsidR="00FE3640" w:rsidRPr="00C07885" w:rsidRDefault="00E21E1E" w:rsidP="00E21E1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D67743" w:rsidRDefault="00FE2FFC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Zakonom o poljoprivrednom zemljištu (Narodne novine br. 20/2018, u daljnjem tekstu Zakon) člankom 29. propisano je da se s poljoprivrednim zemljištem u vlasništvu države raspolaže se na temelju Programa raspolaganja poljoprivrednim zemljištem kojeg donosi općinsko ili gradsko vijeće za svoje područje na prijedlog načelnika odnosno gradonačelnika. </w:t>
            </w:r>
          </w:p>
          <w:p w:rsidR="00944B1A" w:rsidRDefault="00944B1A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1E" w:rsidRPr="00C07885" w:rsidRDefault="00D67743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Predstavničko tijelo Općine Sokolovac nije donijelo u zakonskom roku predmetno, već je prijedlog Programa dostavilo dana 17. srpnja 2018. godine, a dopunjeni prijedlog Programa 02. kolovoza 2018. </w:t>
            </w:r>
            <w:r w:rsidR="00B74140"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nadležnom županijskom tijelu na donošenje.</w:t>
            </w:r>
          </w:p>
          <w:p w:rsidR="00E21E1E" w:rsidRPr="00C07885" w:rsidRDefault="00E21E1E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FC" w:rsidRPr="00C0788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Dokumentacija potrebna za donošenje Progra</w:t>
            </w:r>
            <w:bookmarkStart w:id="0" w:name="_GoBack"/>
            <w:bookmarkEnd w:id="0"/>
            <w:r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ma propisana je Pravilnikom o dokumentaciji za donošenje Programa raspolaganja poljoprivrednim zemljištem u vlasništvu </w:t>
            </w:r>
            <w:r w:rsidR="00D67743">
              <w:rPr>
                <w:rFonts w:ascii="Times New Roman" w:hAnsi="Times New Roman" w:cs="Times New Roman"/>
                <w:sz w:val="24"/>
                <w:szCs w:val="24"/>
              </w:rPr>
              <w:t>RH (Narodne novine br. 27/2018),čini osnovu za donošenje Programa.</w:t>
            </w:r>
          </w:p>
          <w:p w:rsidR="00782848" w:rsidRPr="00C07885" w:rsidRDefault="00782848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FC" w:rsidRPr="00C0788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Raspolaganje poljoprivrednim zemljištem u vlasništvu države u smislu ovog  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FE2FFC" w:rsidRPr="00C0788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FC" w:rsidRPr="00C0788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Glavni ciljevi koji se žele postići donošenjem Programa za područje</w:t>
            </w:r>
            <w:r w:rsidR="0070006B"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 Općine </w:t>
            </w:r>
            <w:r w:rsidR="00782848" w:rsidRPr="00C07885">
              <w:rPr>
                <w:rFonts w:ascii="Times New Roman" w:hAnsi="Times New Roman" w:cs="Times New Roman"/>
                <w:sz w:val="24"/>
                <w:szCs w:val="24"/>
              </w:rPr>
              <w:t xml:space="preserve">Sokolovac </w:t>
            </w: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su:</w:t>
            </w:r>
          </w:p>
          <w:p w:rsidR="00782848" w:rsidRPr="00C07885" w:rsidRDefault="00782848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FC" w:rsidRPr="00C07885" w:rsidRDefault="00FE2FFC" w:rsidP="00782848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- efikasnije raspolaganje poljoprivrednim zemljištem,</w:t>
            </w:r>
          </w:p>
          <w:p w:rsidR="00FE2FFC" w:rsidRPr="00C07885" w:rsidRDefault="00FE2FFC" w:rsidP="00782848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- okrupnjavanje zemljišta i stavljanje u funkciju zapuštenog poljoprivrednog zemljišta,</w:t>
            </w:r>
          </w:p>
          <w:p w:rsidR="00FE2FFC" w:rsidRPr="00C07885" w:rsidRDefault="00FE2FFC" w:rsidP="00782848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- povećanje proizvodne funkcionalnosti poljoprivrednog zemljišta,</w:t>
            </w:r>
          </w:p>
          <w:p w:rsidR="00FE2FFC" w:rsidRPr="00C07885" w:rsidRDefault="00FE2FFC" w:rsidP="00782848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85">
              <w:rPr>
                <w:rFonts w:ascii="Times New Roman" w:hAnsi="Times New Roman" w:cs="Times New Roman"/>
                <w:sz w:val="24"/>
                <w:szCs w:val="24"/>
              </w:rPr>
              <w:t>- usklađenje stanja u katastru sa stanjem u zemljišnim knjigama.</w:t>
            </w:r>
          </w:p>
          <w:p w:rsidR="00FE2FFC" w:rsidRPr="00C0788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FC" w:rsidRPr="00C07885" w:rsidRDefault="00FE2FFC" w:rsidP="0006334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EC" w:rsidRDefault="000D6BEC" w:rsidP="0006334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Dosadašnje raspolaganje poljoprivrednim zemljištem</w:t>
            </w:r>
            <w:r w:rsidRPr="000D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području Općine </w:t>
            </w:r>
            <w:r w:rsidR="001F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Sokolovac</w:t>
            </w:r>
          </w:p>
          <w:p w:rsidR="006C4CFD" w:rsidRPr="000D6BEC" w:rsidRDefault="006C4CFD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EC" w:rsidRDefault="00E21E1E" w:rsidP="0006334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334C" w:rsidRPr="00F733B9">
              <w:rPr>
                <w:rFonts w:ascii="Times New Roman" w:hAnsi="Times New Roman" w:cs="Times New Roman"/>
                <w:sz w:val="24"/>
                <w:szCs w:val="24"/>
              </w:rPr>
              <w:t>Ovim Programom raspolaganja na području Općine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E0C">
              <w:rPr>
                <w:rFonts w:ascii="Times New Roman" w:hAnsi="Times New Roman" w:cs="Times New Roman"/>
                <w:sz w:val="24"/>
                <w:szCs w:val="24"/>
              </w:rPr>
              <w:t>Sokolovac</w:t>
            </w:r>
            <w:r w:rsidR="0006334C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66" w:rsidRPr="00F733B9">
              <w:rPr>
                <w:rFonts w:ascii="Times New Roman" w:hAnsi="Times New Roman" w:cs="Times New Roman"/>
                <w:sz w:val="24"/>
                <w:szCs w:val="24"/>
              </w:rPr>
              <w:t>ukupn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o je utvrđeno </w:t>
            </w:r>
            <w:r w:rsidR="001F6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6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400">
              <w:rPr>
                <w:rFonts w:ascii="Times New Roman" w:hAnsi="Times New Roman" w:cs="Times New Roman"/>
                <w:sz w:val="24"/>
                <w:szCs w:val="24"/>
              </w:rPr>
              <w:t>7378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9A" w:rsidRPr="00F733B9">
              <w:rPr>
                <w:rFonts w:ascii="Times New Roman" w:hAnsi="Times New Roman" w:cs="Times New Roman"/>
                <w:sz w:val="24"/>
                <w:szCs w:val="24"/>
              </w:rPr>
              <w:t>ha drž</w:t>
            </w:r>
            <w:r w:rsidR="003B27D8" w:rsidRPr="00F733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vnog poljoprivrednog zemljišta. </w:t>
            </w:r>
          </w:p>
          <w:p w:rsidR="006C4CFD" w:rsidRDefault="006C4CFD" w:rsidP="0006334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Poljoprivrednim zemljištem u vlasništvu RH na području Općine Sokolovac raspolaže se temeljem sljedećih oblika raspolaganja:</w:t>
            </w:r>
          </w:p>
          <w:p w:rsidR="00AF62BE" w:rsidRDefault="00AF62BE" w:rsidP="00AF62B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ugovorima o privremenom korištenju poljoprivrednog zemljišta u vlasništvu Republike Hrvatske raspolaže se sa 5,8731 ha na temelju 5 sklopljenih ugovora između privremenih korisnika i Agencije za poljoprivredno zemljište, od čega je 1 ugovor istekao (2,121 ha), a jedan je prijevremeno raskinut na zahtjev korisnika (0,7683 ha),</w:t>
            </w:r>
          </w:p>
          <w:p w:rsidR="00AF62BE" w:rsidRDefault="00AF62BE" w:rsidP="00AF62B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ugovorom o prodaji izravnom pogodbom </w:t>
            </w:r>
            <w:r w:rsidRPr="00702237">
              <w:rPr>
                <w:rFonts w:ascii="Times New Roman" w:hAnsi="Times New Roman" w:cs="Times New Roman"/>
                <w:sz w:val="24"/>
                <w:szCs w:val="24"/>
              </w:rPr>
              <w:t>poljoprivrednog zemljišta u vlasništvu Republike Hrvatske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području općine Sokolovac na temelju 1 sklopljenog ugovora između kupca i</w:t>
            </w:r>
            <w:r w:rsidRPr="00702237">
              <w:rPr>
                <w:rFonts w:ascii="Times New Roman" w:hAnsi="Times New Roman" w:cs="Times New Roman"/>
                <w:sz w:val="24"/>
                <w:szCs w:val="24"/>
              </w:rPr>
              <w:t xml:space="preserve"> Agencije za poljoprivredno zemljište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prodano je 0,879 ha zemljišta. Ugovor je isplaćen u cijelosti.</w:t>
            </w:r>
          </w:p>
          <w:p w:rsidR="00D67743" w:rsidRDefault="00D67743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EC" w:rsidRDefault="000D6BEC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EC">
              <w:rPr>
                <w:rFonts w:ascii="Times New Roman" w:hAnsi="Times New Roman" w:cs="Times New Roman"/>
                <w:b/>
                <w:sz w:val="24"/>
                <w:szCs w:val="24"/>
              </w:rPr>
              <w:t>Raspolaganje poljoprivrednim zemljištem prema predloženom Programu</w:t>
            </w:r>
          </w:p>
          <w:p w:rsidR="009C0240" w:rsidRDefault="009C0240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2BE" w:rsidRPr="00B55652">
              <w:rPr>
                <w:rFonts w:ascii="Times New Roman" w:hAnsi="Times New Roman" w:cs="Times New Roman"/>
                <w:sz w:val="24"/>
                <w:szCs w:val="24"/>
              </w:rPr>
              <w:t>Prema dostavljenim podacima Državne geodetske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, Odjela za katastar nekretnina Koprivnica, ukupna površina poljoprivrednog zemljišta u vlasništvu Republike Hrvatske na području Općine Sokolovac  iznosi 6</w:t>
            </w:r>
            <w:r w:rsidR="00C7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400">
              <w:rPr>
                <w:rFonts w:ascii="Times New Roman" w:hAnsi="Times New Roman" w:cs="Times New Roman"/>
                <w:sz w:val="24"/>
                <w:szCs w:val="24"/>
              </w:rPr>
              <w:t>7378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 xml:space="preserve"> ha. Za poljoprivredno zemljište na području Općine Sokolovac karakteristično je da prevladavaju male parcele (317 katastarskih čestica) te nesređeno zemljišnoknjižno stanje. Od sveukupne površine </w:t>
            </w:r>
            <w:r w:rsidR="00C73400">
              <w:rPr>
                <w:rFonts w:ascii="Times New Roman" w:hAnsi="Times New Roman" w:cs="Times New Roman"/>
                <w:sz w:val="24"/>
                <w:szCs w:val="24"/>
              </w:rPr>
              <w:t>61,8647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 xml:space="preserve"> ha ne nalazi se pod niti jednim oblikom raspolaganja.</w:t>
            </w: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Na području Općine Sokolovac za zakup poljoprivrednog zemljišta na 25 godina s mogućnošću produljenja za isto razdoblje, sukladno članku 31. stavak 1. Zakona, određeno je 33,1252 ha. Maksimalna površina određena za zakup je 3</w:t>
            </w:r>
            <w:r w:rsidR="006C4CFD">
              <w:rPr>
                <w:rFonts w:ascii="Times New Roman" w:hAnsi="Times New Roman" w:cs="Times New Roman"/>
                <w:sz w:val="24"/>
                <w:szCs w:val="24"/>
              </w:rPr>
              <w:t>,0493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 xml:space="preserve"> ha.</w:t>
            </w: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Za prodaju je određeno 14,1847 ha, a uglavnom se radi o manjim parcelama te o zemljištu obraslom raslinjem.</w:t>
            </w: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Za potrebe povrata zemljišta i zamjene u slučaju kada nije moguć povrat imovine oduzete za vrijeme jugoslavenske komunističke vladavine, određeno je 20,4279 ha. Navedenim poljoprivrednim zemljištem do donošenja pravomoćnih rješenja o povratu, raspolagat će se putem zakupa sukladno članku 31. stavak 2. Zakona.</w:t>
            </w: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Na području Općine Sokolovac nisu određene površine za zakup za ribnjake, za zakup zajedničkih pašnjaka</w:t>
            </w:r>
            <w:r w:rsidR="00C0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BE" w:rsidRDefault="00AF62BE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BE" w:rsidRDefault="00302477" w:rsidP="00A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Popis svih katastarskih čestica poljoprivrednog zemljišta u vlasništvu RH sa označenim dosadašnjim i predviđenim oblikom raspolaganja za Općinu Sokolovac nalazi se u tablici u prilogu.</w:t>
            </w:r>
          </w:p>
          <w:p w:rsidR="00AF62BE" w:rsidRPr="000D6BEC" w:rsidRDefault="00302477" w:rsidP="00AF62B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02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62BE">
              <w:rPr>
                <w:rFonts w:ascii="Times New Roman" w:hAnsi="Times New Roman" w:cs="Times New Roman"/>
                <w:sz w:val="24"/>
                <w:szCs w:val="24"/>
              </w:rPr>
              <w:t>Na području Općine Sokolovac nema poljoprivrednih površina na kojima je izgrađen sustav javnog navodnjavanja, niti miniranih i minski sumnjivih područja.</w:t>
            </w:r>
          </w:p>
          <w:p w:rsidR="00920712" w:rsidRDefault="001645FF" w:rsidP="009C024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071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</w:t>
            </w:r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Od ostalih napomena, treb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istaknuti i to da se područje cijele </w:t>
            </w:r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Općine</w:t>
            </w:r>
            <w:r w:rsidR="009C024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nalazi u obuhvatu </w:t>
            </w:r>
            <w:proofErr w:type="spellStart"/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>ekomreže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. Za očekivati je da će procjena utjecaja na okoliš (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ishoduje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 u periodu između dobivanja suglasnosti Ministarstva poljoprivrede i raspisivanja natječaja) za određeni dio </w:t>
            </w:r>
            <w:r w:rsidR="00F632D4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tamošnjih </w:t>
            </w:r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površina unijeti ograničenja u smislu oblika i načina raspolaganja</w:t>
            </w:r>
            <w:r w:rsidR="00621B30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0D6BEC" w:rsidRDefault="00920712" w:rsidP="00621B3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</w:t>
            </w:r>
            <w:r w:rsidR="00621B30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Upravni odjel za gospodarstvo, komunalne djelatnosti i poljoprivredu Koprivničko – križevačke županije podnio je Zahtjev za </w:t>
            </w:r>
            <w:r w:rsidR="00B72399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provedbu ocjene prihvatljivosti programa za ekološku mrežu prema posebnom propisu iz područja zaštite prirode</w:t>
            </w:r>
            <w:r w:rsid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KLASA: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320-02/18-01/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3, URBROJ:2137/1-04/12-18-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od 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355ADD">
              <w:rPr>
                <w:rFonts w:ascii="Times New Roman" w:hAnsi="Times New Roman" w:cs="Times New Roman"/>
                <w:color w:val="000000" w:themeColor="text1"/>
                <w:sz w:val="24"/>
              </w:rPr>
              <w:t>kolovoza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2018.</w:t>
            </w:r>
          </w:p>
          <w:p w:rsidR="00621B30" w:rsidRDefault="00E96DE5" w:rsidP="006C4C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="0049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621B30">
              <w:rPr>
                <w:rFonts w:ascii="Times New Roman" w:hAnsi="Times New Roman" w:cs="Times New Roman"/>
                <w:sz w:val="24"/>
              </w:rPr>
              <w:t xml:space="preserve">Sukladno članku 29. stavku 5. Općina </w:t>
            </w:r>
            <w:r w:rsidR="00355ADD">
              <w:rPr>
                <w:rFonts w:ascii="Times New Roman" w:hAnsi="Times New Roman" w:cs="Times New Roman"/>
                <w:sz w:val="24"/>
              </w:rPr>
              <w:t>Sokolovac</w:t>
            </w:r>
            <w:r w:rsidR="00621B30">
              <w:rPr>
                <w:rFonts w:ascii="Times New Roman" w:hAnsi="Times New Roman" w:cs="Times New Roman"/>
                <w:sz w:val="24"/>
              </w:rPr>
              <w:t xml:space="preserve">  izložila</w:t>
            </w:r>
            <w:r w:rsidR="00355ADD">
              <w:rPr>
                <w:rFonts w:ascii="Times New Roman" w:hAnsi="Times New Roman" w:cs="Times New Roman"/>
                <w:sz w:val="24"/>
              </w:rPr>
              <w:t xml:space="preserve"> je</w:t>
            </w:r>
            <w:r w:rsidR="00621B30">
              <w:rPr>
                <w:rFonts w:ascii="Times New Roman" w:hAnsi="Times New Roman" w:cs="Times New Roman"/>
                <w:sz w:val="24"/>
              </w:rPr>
              <w:t xml:space="preserve"> Prijedlog programa na javni uvid.</w:t>
            </w:r>
          </w:p>
          <w:p w:rsidR="00C75CEA" w:rsidRDefault="00C75CEA" w:rsidP="00621B3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Za ostale namjene na području Općine Sokolovac  nisu predviđene površine.</w:t>
            </w:r>
          </w:p>
          <w:p w:rsidR="009C0240" w:rsidRDefault="009C0240" w:rsidP="00621B3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1B30" w:rsidRPr="00FE2FFC" w:rsidRDefault="00621B30" w:rsidP="00621B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2FFC">
              <w:rPr>
                <w:rFonts w:ascii="Times New Roman" w:hAnsi="Times New Roman" w:cs="Times New Roman"/>
                <w:b/>
                <w:sz w:val="24"/>
              </w:rPr>
              <w:lastRenderedPageBreak/>
              <w:t>Prilozi:</w:t>
            </w:r>
          </w:p>
          <w:p w:rsidR="000D6BEC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951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Kopija katastarskog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plana za područje </w:t>
            </w:r>
            <w:r>
              <w:rPr>
                <w:rFonts w:ascii="Times New Roman" w:hAnsi="Times New Roman" w:cs="Times New Roman"/>
                <w:sz w:val="24"/>
              </w:rPr>
              <w:t xml:space="preserve">Općine </w:t>
            </w:r>
            <w:r w:rsidR="009C0240">
              <w:rPr>
                <w:rFonts w:ascii="Times New Roman" w:hAnsi="Times New Roman" w:cs="Times New Roman"/>
                <w:sz w:val="24"/>
              </w:rPr>
              <w:t>Sokolovac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Zemljišnoknjižni</w:t>
            </w:r>
            <w:r>
              <w:rPr>
                <w:rFonts w:ascii="Times New Roman" w:hAnsi="Times New Roman" w:cs="Times New Roman"/>
                <w:sz w:val="24"/>
              </w:rPr>
              <w:t>h izvadaka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1972E5">
              <w:rPr>
                <w:rFonts w:ascii="Times New Roman" w:hAnsi="Times New Roman" w:cs="Times New Roman"/>
                <w:sz w:val="24"/>
              </w:rPr>
              <w:t>osjedovni</w:t>
            </w:r>
            <w:r>
              <w:rPr>
                <w:rFonts w:ascii="Times New Roman" w:hAnsi="Times New Roman" w:cs="Times New Roman"/>
                <w:sz w:val="24"/>
              </w:rPr>
              <w:t>h listova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iz e-baze Preglednika katastarskih podataka</w:t>
            </w:r>
            <w:r>
              <w:rPr>
                <w:rFonts w:ascii="Times New Roman" w:hAnsi="Times New Roman" w:cs="Times New Roman"/>
                <w:sz w:val="24"/>
              </w:rPr>
              <w:t xml:space="preserve"> DGU i ZIS aplikacije zemljišno-</w:t>
            </w:r>
            <w:r w:rsidRPr="001972E5">
              <w:rPr>
                <w:rFonts w:ascii="Times New Roman" w:hAnsi="Times New Roman" w:cs="Times New Roman"/>
                <w:sz w:val="24"/>
              </w:rPr>
              <w:t>knjižnog sustava Ministarstva pravosuđa (osim iznimno u slučajevima kada ne postoji e-zemljišno knjižni izvadak)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Uvjerenj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županije, nadležnog za prostorno uređenje, da se prema važećem prostornom planu uređenja, predmetne čestice nalaze izvan granica građevinskog područja s potrebnom oznakom ukoliko se radi o osobito vrijednom (P1) i vrijednom (P2) poljoprivrednom zemljištu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Očitovanj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Ureda državne uprave u </w:t>
            </w:r>
            <w:r w:rsidR="00B72399">
              <w:rPr>
                <w:rFonts w:ascii="Times New Roman" w:hAnsi="Times New Roman" w:cs="Times New Roman"/>
                <w:sz w:val="24"/>
              </w:rPr>
              <w:t xml:space="preserve"> Koprivničko – križevačkoj </w:t>
            </w:r>
            <w:r w:rsidRPr="001972E5">
              <w:rPr>
                <w:rFonts w:ascii="Times New Roman" w:hAnsi="Times New Roman" w:cs="Times New Roman"/>
                <w:sz w:val="24"/>
              </w:rPr>
              <w:t>županiji,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Uvjerenja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šuma d.o.o. – nadležne Uprave šuma da predmetne čestice nisu obuhvaćene šumskogospodarskom osnovom</w:t>
            </w:r>
          </w:p>
          <w:p w:rsidR="000D6BEC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078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voda jesu li i koje predmetne čestice javno vodno dobro</w:t>
            </w:r>
          </w:p>
          <w:p w:rsidR="00C75CEA" w:rsidRPr="001972E5" w:rsidRDefault="00C75CEA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Obavijest o objavi javnog uvida na prijedlog Programa raspolaganja poljoprivrednim zemljištem</w:t>
            </w:r>
          </w:p>
          <w:p w:rsidR="000D6BEC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>
              <w:rPr>
                <w:rFonts w:ascii="Times New Roman" w:hAnsi="Times New Roman" w:cs="Times New Roman"/>
                <w:sz w:val="24"/>
              </w:rPr>
              <w:t>županije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jesu li i koje predmetne čestice u obuhvatu postojećeg i/ili planiranog sustava javnog navodnjavanja</w:t>
            </w:r>
          </w:p>
          <w:p w:rsidR="000D6BEC" w:rsidRPr="001972E5" w:rsidRDefault="00B72399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 području Općine </w:t>
            </w:r>
            <w:r w:rsidR="00782848">
              <w:rPr>
                <w:rFonts w:ascii="Times New Roman" w:hAnsi="Times New Roman" w:cs="Times New Roman"/>
                <w:sz w:val="24"/>
              </w:rPr>
              <w:t>Sokolovac</w:t>
            </w:r>
            <w:r>
              <w:rPr>
                <w:rFonts w:ascii="Times New Roman" w:hAnsi="Times New Roman" w:cs="Times New Roman"/>
                <w:sz w:val="24"/>
              </w:rPr>
              <w:t xml:space="preserve"> nema minira</w:t>
            </w:r>
            <w:r w:rsidR="00782848">
              <w:rPr>
                <w:rFonts w:ascii="Times New Roman" w:hAnsi="Times New Roman" w:cs="Times New Roman"/>
                <w:sz w:val="24"/>
              </w:rPr>
              <w:t>nih i minski sumnjivih područja</w:t>
            </w:r>
            <w:r w:rsidR="00C75CEA">
              <w:rPr>
                <w:rFonts w:ascii="Times New Roman" w:hAnsi="Times New Roman" w:cs="Times New Roman"/>
                <w:sz w:val="24"/>
              </w:rPr>
              <w:t>- očitovanje u prilogu</w:t>
            </w:r>
            <w:r w:rsidR="00782848">
              <w:rPr>
                <w:rFonts w:ascii="Times New Roman" w:hAnsi="Times New Roman" w:cs="Times New Roman"/>
                <w:sz w:val="24"/>
              </w:rPr>
              <w:t>.</w:t>
            </w:r>
          </w:p>
          <w:p w:rsidR="000D6BEC" w:rsidRPr="00F733B9" w:rsidRDefault="000D6BEC" w:rsidP="00652E2E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399" w:rsidRPr="00B72399" w:rsidRDefault="00B72399" w:rsidP="00E7570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lastRenderedPageBreak/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B72399" w:rsidRPr="00B72399" w:rsidRDefault="00B72399" w:rsidP="00B7239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Default="00B72399" w:rsidP="00E7570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Ovaj Program stupa na snagu nakon dobivanja suglasnosti Ministarstva poljoprivrede i biti će objavljen u „Službenom glasniku Koprivničko-križevačke županije“</w:t>
      </w:r>
    </w:p>
    <w:p w:rsidR="00C07885" w:rsidRPr="00B72399" w:rsidRDefault="00C07885" w:rsidP="00E7570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Default="00B72399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UPRAVNI ODJEL ZA GOSPODARSTVO, KOMUNALNE DJELATNOSTI I POLJOPRIVREDU</w:t>
      </w:r>
    </w:p>
    <w:p w:rsidR="00B72399" w:rsidRPr="00B72399" w:rsidRDefault="00B72399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KOPRIVNIČKO-KRIŽEVAČKE ŽUPANIJE</w:t>
      </w:r>
    </w:p>
    <w:p w:rsidR="00E7570E" w:rsidRPr="00B72399" w:rsidRDefault="00E7570E" w:rsidP="00273C8D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C73BC" w:rsidRPr="001972E5" w:rsidRDefault="006C73BC" w:rsidP="006C73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PROČELNIK</w:t>
      </w:r>
    </w:p>
    <w:p w:rsidR="003A44C6" w:rsidRPr="00164D70" w:rsidRDefault="006C73BC" w:rsidP="00B72399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  <w:t xml:space="preserve">     </w:t>
      </w:r>
      <w:r w:rsidR="006C5C5B">
        <w:rPr>
          <w:rFonts w:ascii="Times New Roman" w:hAnsi="Times New Roman" w:cs="Times New Roman"/>
          <w:b/>
          <w:sz w:val="24"/>
        </w:rPr>
        <w:t xml:space="preserve"> </w:t>
      </w:r>
      <w:r w:rsidRPr="001972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Marijan Štimac, dipl. </w:t>
      </w:r>
      <w:proofErr w:type="spellStart"/>
      <w:r>
        <w:rPr>
          <w:rFonts w:ascii="Times New Roman" w:hAnsi="Times New Roman" w:cs="Times New Roman"/>
          <w:b/>
          <w:sz w:val="24"/>
        </w:rPr>
        <w:t>oec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sectPr w:rsidR="003A44C6" w:rsidRPr="00164D70" w:rsidSect="006C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2B7"/>
    <w:multiLevelType w:val="hybridMultilevel"/>
    <w:tmpl w:val="EB302C96"/>
    <w:lvl w:ilvl="0" w:tplc="ABA8F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1CDC"/>
    <w:multiLevelType w:val="hybridMultilevel"/>
    <w:tmpl w:val="B7C0F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83B"/>
    <w:multiLevelType w:val="hybridMultilevel"/>
    <w:tmpl w:val="CC8A475C"/>
    <w:lvl w:ilvl="0" w:tplc="DFECE4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71FE"/>
    <w:rsid w:val="0006334C"/>
    <w:rsid w:val="000824CC"/>
    <w:rsid w:val="000871FE"/>
    <w:rsid w:val="000D6BEC"/>
    <w:rsid w:val="000F4BC9"/>
    <w:rsid w:val="001645FF"/>
    <w:rsid w:val="00164D70"/>
    <w:rsid w:val="001F6E0C"/>
    <w:rsid w:val="00255362"/>
    <w:rsid w:val="00273C8D"/>
    <w:rsid w:val="00302477"/>
    <w:rsid w:val="00302E27"/>
    <w:rsid w:val="00355ADD"/>
    <w:rsid w:val="003A44C6"/>
    <w:rsid w:val="003B27D8"/>
    <w:rsid w:val="003C1E44"/>
    <w:rsid w:val="003D7FA4"/>
    <w:rsid w:val="00453158"/>
    <w:rsid w:val="004951CB"/>
    <w:rsid w:val="004E2C8E"/>
    <w:rsid w:val="005122CC"/>
    <w:rsid w:val="005E1CF5"/>
    <w:rsid w:val="0060389F"/>
    <w:rsid w:val="00620FC0"/>
    <w:rsid w:val="00621B30"/>
    <w:rsid w:val="00652E2E"/>
    <w:rsid w:val="00684897"/>
    <w:rsid w:val="006C4CFD"/>
    <w:rsid w:val="006C5C5B"/>
    <w:rsid w:val="006C73BC"/>
    <w:rsid w:val="006D6CA8"/>
    <w:rsid w:val="006E2767"/>
    <w:rsid w:val="006F340D"/>
    <w:rsid w:val="0070006B"/>
    <w:rsid w:val="00773930"/>
    <w:rsid w:val="00782848"/>
    <w:rsid w:val="007F467D"/>
    <w:rsid w:val="008062E7"/>
    <w:rsid w:val="00841A77"/>
    <w:rsid w:val="008B1A2D"/>
    <w:rsid w:val="008C2DB9"/>
    <w:rsid w:val="008C4ED9"/>
    <w:rsid w:val="008C7823"/>
    <w:rsid w:val="008D5B02"/>
    <w:rsid w:val="00920712"/>
    <w:rsid w:val="00944B1A"/>
    <w:rsid w:val="00954766"/>
    <w:rsid w:val="0096242A"/>
    <w:rsid w:val="009636E3"/>
    <w:rsid w:val="009754AF"/>
    <w:rsid w:val="00992DA1"/>
    <w:rsid w:val="009C0240"/>
    <w:rsid w:val="009D6527"/>
    <w:rsid w:val="00A800D3"/>
    <w:rsid w:val="00A924B5"/>
    <w:rsid w:val="00AD793D"/>
    <w:rsid w:val="00AF18C4"/>
    <w:rsid w:val="00AF62BE"/>
    <w:rsid w:val="00B646AC"/>
    <w:rsid w:val="00B72399"/>
    <w:rsid w:val="00B74140"/>
    <w:rsid w:val="00BC2497"/>
    <w:rsid w:val="00C07885"/>
    <w:rsid w:val="00C51BA5"/>
    <w:rsid w:val="00C52BEC"/>
    <w:rsid w:val="00C73400"/>
    <w:rsid w:val="00C75CEA"/>
    <w:rsid w:val="00C77B9A"/>
    <w:rsid w:val="00C9183E"/>
    <w:rsid w:val="00CD3B44"/>
    <w:rsid w:val="00D63811"/>
    <w:rsid w:val="00D67743"/>
    <w:rsid w:val="00DF6046"/>
    <w:rsid w:val="00E00D07"/>
    <w:rsid w:val="00E041E8"/>
    <w:rsid w:val="00E21E1E"/>
    <w:rsid w:val="00E32068"/>
    <w:rsid w:val="00E7570E"/>
    <w:rsid w:val="00E84712"/>
    <w:rsid w:val="00E92A9A"/>
    <w:rsid w:val="00E96DE5"/>
    <w:rsid w:val="00EA1E34"/>
    <w:rsid w:val="00EF2385"/>
    <w:rsid w:val="00F05D2B"/>
    <w:rsid w:val="00F35F37"/>
    <w:rsid w:val="00F43451"/>
    <w:rsid w:val="00F43CD5"/>
    <w:rsid w:val="00F50814"/>
    <w:rsid w:val="00F632D4"/>
    <w:rsid w:val="00F733B9"/>
    <w:rsid w:val="00FA1ED9"/>
    <w:rsid w:val="00FC4CD1"/>
    <w:rsid w:val="00FD61A5"/>
    <w:rsid w:val="00FE2FFC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1FE"/>
    <w:pPr>
      <w:spacing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087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1FE"/>
    <w:pPr>
      <w:spacing w:after="200"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1FE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F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E3640"/>
    <w:rPr>
      <w:color w:val="0000FF"/>
      <w:u w:val="single"/>
    </w:rPr>
  </w:style>
  <w:style w:type="paragraph" w:styleId="Bezproreda">
    <w:name w:val="No Spacing"/>
    <w:uiPriority w:val="1"/>
    <w:qFormat/>
    <w:rsid w:val="00C51BA5"/>
    <w:pPr>
      <w:spacing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68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063D-0DB1-4DB4-9047-8279190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ZdenkaM</cp:lastModifiedBy>
  <cp:revision>19</cp:revision>
  <cp:lastPrinted>2018-08-03T08:45:00Z</cp:lastPrinted>
  <dcterms:created xsi:type="dcterms:W3CDTF">2018-08-03T06:31:00Z</dcterms:created>
  <dcterms:modified xsi:type="dcterms:W3CDTF">2018-08-03T09:23:00Z</dcterms:modified>
</cp:coreProperties>
</file>