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7F" w:rsidRPr="008F4943" w:rsidRDefault="00663415" w:rsidP="00753E4D">
      <w:pPr>
        <w:pStyle w:val="Uvuenotijeloteksta"/>
      </w:pPr>
      <w:r w:rsidRPr="00877D2D">
        <w:rPr>
          <w:sz w:val="24"/>
          <w:szCs w:val="24"/>
        </w:rPr>
        <w:t xml:space="preserve"> </w:t>
      </w:r>
      <w:r w:rsidR="004F6D7F" w:rsidRPr="008F4943">
        <w:t>Sukladno članku 19.</w:t>
      </w:r>
      <w:r w:rsidR="00C67B04" w:rsidRPr="008F4943">
        <w:t xml:space="preserve"> </w:t>
      </w:r>
      <w:r w:rsidR="00924459">
        <w:t xml:space="preserve">  </w:t>
      </w:r>
      <w:r w:rsidR="004F6D7F" w:rsidRPr="008F4943">
        <w:t>Zakona o službenicima i namještenicima u lokalnoj i podru</w:t>
      </w:r>
      <w:r w:rsidR="006C399A" w:rsidRPr="008F4943">
        <w:t>čnoj (regionalnoj) samoupravi („Narodne novine“</w:t>
      </w:r>
      <w:r w:rsidR="004F6D7F" w:rsidRPr="008F4943">
        <w:t xml:space="preserve"> broj 86/08.</w:t>
      </w:r>
      <w:r w:rsidR="007529C5" w:rsidRPr="008F4943">
        <w:t>,</w:t>
      </w:r>
      <w:r w:rsidR="004F6D7F" w:rsidRPr="008F4943">
        <w:t xml:space="preserve"> 61/11.</w:t>
      </w:r>
      <w:r w:rsidR="00924459">
        <w:t>,</w:t>
      </w:r>
      <w:r w:rsidR="007529C5" w:rsidRPr="008F4943">
        <w:t xml:space="preserve"> 04/18.</w:t>
      </w:r>
      <w:r w:rsidR="00924459">
        <w:t xml:space="preserve"> i 112/19 pročelnik Upravnog odjela za </w:t>
      </w:r>
      <w:r w:rsidR="00BD5762">
        <w:t>gospodarstvo, komunalne djelatnosti</w:t>
      </w:r>
      <w:r w:rsidR="008B7F01">
        <w:t xml:space="preserve"> i poljoprivredu</w:t>
      </w:r>
      <w:r w:rsidR="00501552" w:rsidRPr="008F4943">
        <w:t xml:space="preserve"> Koprivničko-križevačke županije</w:t>
      </w:r>
      <w:r w:rsidR="004F6D7F" w:rsidRPr="008F4943">
        <w:t xml:space="preserve"> raspisa</w:t>
      </w:r>
      <w:r w:rsidR="00924459">
        <w:t>o</w:t>
      </w:r>
      <w:r w:rsidR="00C67B04" w:rsidRPr="008F4943">
        <w:t xml:space="preserve"> je </w:t>
      </w:r>
      <w:r w:rsidR="008B7F01">
        <w:t>javni Natječaj</w:t>
      </w:r>
    </w:p>
    <w:p w:rsidR="008B7F01" w:rsidRDefault="008B7F01" w:rsidP="008B7F01">
      <w:pPr>
        <w:ind w:left="34" w:firstLine="108"/>
        <w:jc w:val="center"/>
        <w:rPr>
          <w:b/>
          <w:sz w:val="22"/>
          <w:szCs w:val="22"/>
          <w:u w:val="single"/>
        </w:rPr>
      </w:pPr>
      <w:r w:rsidRPr="00977F03">
        <w:rPr>
          <w:b/>
          <w:sz w:val="22"/>
          <w:szCs w:val="22"/>
          <w:u w:val="single"/>
        </w:rPr>
        <w:t xml:space="preserve">koji je objavljen u </w:t>
      </w:r>
      <w:r>
        <w:rPr>
          <w:b/>
          <w:sz w:val="22"/>
          <w:szCs w:val="22"/>
          <w:u w:val="single"/>
        </w:rPr>
        <w:t xml:space="preserve">„Narodnim novinama“ broj  </w:t>
      </w:r>
      <w:r w:rsidR="005B0E26" w:rsidRPr="00BC61E0">
        <w:rPr>
          <w:b/>
          <w:sz w:val="22"/>
          <w:szCs w:val="22"/>
          <w:u w:val="single"/>
        </w:rPr>
        <w:t>15</w:t>
      </w:r>
      <w:r w:rsidR="00BC61E0">
        <w:rPr>
          <w:b/>
          <w:sz w:val="22"/>
          <w:szCs w:val="22"/>
          <w:u w:val="single"/>
        </w:rPr>
        <w:t>/20</w:t>
      </w:r>
      <w:bookmarkStart w:id="0" w:name="_GoBack"/>
      <w:bookmarkEnd w:id="0"/>
      <w:r w:rsidRPr="00BC61E0">
        <w:rPr>
          <w:b/>
          <w:sz w:val="22"/>
          <w:szCs w:val="22"/>
          <w:u w:val="single"/>
        </w:rPr>
        <w:t>. od 07. veljače 2020.</w:t>
      </w:r>
      <w:r w:rsidRPr="00977F0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 radno mjesto</w:t>
      </w:r>
    </w:p>
    <w:p w:rsidR="008B7F01" w:rsidRDefault="008B7F01" w:rsidP="00C67B04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4F6D7F" w:rsidRPr="008F4943" w:rsidRDefault="00877D2D" w:rsidP="00C67B04">
      <w:pPr>
        <w:ind w:left="34" w:firstLine="108"/>
        <w:jc w:val="center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 xml:space="preserve">ZA RADNO MJESTO </w:t>
      </w:r>
    </w:p>
    <w:p w:rsidR="007557E6" w:rsidRPr="007557E6" w:rsidRDefault="007557E6" w:rsidP="007557E6">
      <w:pPr>
        <w:ind w:firstLine="720"/>
        <w:jc w:val="both"/>
        <w:rPr>
          <w:b/>
          <w:bCs/>
          <w:sz w:val="22"/>
          <w:szCs w:val="22"/>
          <w:lang w:eastAsia="hr-HR"/>
        </w:rPr>
      </w:pPr>
    </w:p>
    <w:p w:rsidR="008B7F01" w:rsidRPr="008B7F01" w:rsidRDefault="008B7F01" w:rsidP="008B7F01">
      <w:pPr>
        <w:ind w:firstLine="720"/>
        <w:jc w:val="both"/>
        <w:rPr>
          <w:b/>
          <w:bCs/>
          <w:color w:val="000000"/>
          <w:sz w:val="22"/>
          <w:szCs w:val="22"/>
          <w:lang w:eastAsia="hr-HR"/>
        </w:rPr>
      </w:pPr>
      <w:r w:rsidRPr="008B7F01">
        <w:rPr>
          <w:b/>
          <w:bCs/>
          <w:sz w:val="22"/>
          <w:szCs w:val="22"/>
          <w:lang w:eastAsia="hr-HR"/>
        </w:rPr>
        <w:t xml:space="preserve">VIŠI STRUČNI SURADNIK ZA </w:t>
      </w:r>
      <w:r w:rsidRPr="008B7F01">
        <w:rPr>
          <w:b/>
          <w:sz w:val="22"/>
          <w:szCs w:val="22"/>
        </w:rPr>
        <w:t>OBRTNIŠTVO, TRGOVINU, UGOSTITELJSTVO, TURIZAM, PROMET I POLJOPRIVREDU</w:t>
      </w:r>
      <w:r w:rsidRPr="008B7F01">
        <w:rPr>
          <w:b/>
          <w:bCs/>
          <w:color w:val="000000"/>
          <w:sz w:val="22"/>
          <w:szCs w:val="22"/>
          <w:lang w:eastAsia="hr-HR"/>
        </w:rPr>
        <w:t xml:space="preserve"> – jedan izvršitelj/</w:t>
      </w:r>
      <w:proofErr w:type="spellStart"/>
      <w:r w:rsidRPr="008B7F01">
        <w:rPr>
          <w:b/>
          <w:bCs/>
          <w:color w:val="000000"/>
          <w:sz w:val="22"/>
          <w:szCs w:val="22"/>
          <w:lang w:eastAsia="hr-HR"/>
        </w:rPr>
        <w:t>ica</w:t>
      </w:r>
      <w:proofErr w:type="spellEnd"/>
      <w:r w:rsidRPr="008B7F01">
        <w:rPr>
          <w:b/>
          <w:bCs/>
          <w:color w:val="000000"/>
          <w:sz w:val="22"/>
          <w:szCs w:val="22"/>
          <w:lang w:eastAsia="hr-HR"/>
        </w:rPr>
        <w:t>, na neodređeno vrijeme, IZDVOJENO MJESTO RADA U KRIŽEVCIMA, uz obavezni probni rad u trajanju od tri mjeseca.</w:t>
      </w:r>
    </w:p>
    <w:p w:rsidR="0047633C" w:rsidRPr="008F4943" w:rsidRDefault="0047633C" w:rsidP="0047633C">
      <w:pPr>
        <w:jc w:val="both"/>
        <w:rPr>
          <w:b/>
          <w:sz w:val="22"/>
          <w:szCs w:val="22"/>
        </w:rPr>
      </w:pPr>
    </w:p>
    <w:p w:rsidR="00AA2BE7" w:rsidRPr="008F4943" w:rsidRDefault="00AA2BE7" w:rsidP="0047633C">
      <w:pPr>
        <w:jc w:val="both"/>
        <w:rPr>
          <w:b/>
          <w:sz w:val="22"/>
          <w:szCs w:val="22"/>
        </w:rPr>
      </w:pPr>
    </w:p>
    <w:p w:rsidR="004F6D7F" w:rsidRPr="008F4943" w:rsidRDefault="004F6D7F" w:rsidP="004F6D7F">
      <w:pPr>
        <w:jc w:val="center"/>
        <w:rPr>
          <w:sz w:val="22"/>
          <w:szCs w:val="22"/>
        </w:rPr>
      </w:pPr>
      <w:r w:rsidRPr="008F4943">
        <w:rPr>
          <w:sz w:val="22"/>
          <w:szCs w:val="22"/>
        </w:rPr>
        <w:t>te se sukladno navedenom daju upute kandidatima kako slijedi:</w:t>
      </w:r>
    </w:p>
    <w:p w:rsidR="004F6D7F" w:rsidRPr="008F4943" w:rsidRDefault="004F6D7F" w:rsidP="004F6D7F">
      <w:pPr>
        <w:jc w:val="center"/>
        <w:rPr>
          <w:b/>
          <w:sz w:val="22"/>
          <w:szCs w:val="22"/>
        </w:rPr>
      </w:pPr>
    </w:p>
    <w:p w:rsidR="00E81516" w:rsidRPr="008F4943" w:rsidRDefault="004F6D7F" w:rsidP="00E81516">
      <w:pPr>
        <w:jc w:val="center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>UPUTE  I  OBAVIJESTI  KANDIDATIMA</w:t>
      </w:r>
    </w:p>
    <w:p w:rsidR="00E81516" w:rsidRPr="008F4943" w:rsidRDefault="00E81516" w:rsidP="00E81516">
      <w:pPr>
        <w:jc w:val="center"/>
        <w:rPr>
          <w:b/>
          <w:sz w:val="22"/>
          <w:szCs w:val="22"/>
        </w:rPr>
      </w:pPr>
    </w:p>
    <w:p w:rsidR="00E81516" w:rsidRPr="008F4943" w:rsidRDefault="00E81516" w:rsidP="00E81516">
      <w:pPr>
        <w:pStyle w:val="Tijeloteksta"/>
        <w:rPr>
          <w:rFonts w:ascii="Times New Roman" w:hAnsi="Times New Roman"/>
          <w:sz w:val="22"/>
          <w:szCs w:val="22"/>
        </w:rPr>
      </w:pPr>
      <w:r w:rsidRPr="008F4943">
        <w:rPr>
          <w:rFonts w:ascii="Times New Roman" w:hAnsi="Times New Roman"/>
          <w:sz w:val="22"/>
          <w:szCs w:val="22"/>
        </w:rPr>
        <w:t>Riječi i pojmovi koji imaju rodno značenje, korišteni u ovim uputama i obavijestima odnose se jednako na muški i ženski rod, bez obzira jesu li korišteni u muškom ili ženskom rodu.</w:t>
      </w:r>
    </w:p>
    <w:p w:rsidR="004F6D7F" w:rsidRPr="008F4943" w:rsidRDefault="004F6D7F" w:rsidP="004F6D7F">
      <w:pPr>
        <w:rPr>
          <w:b/>
          <w:sz w:val="22"/>
          <w:szCs w:val="22"/>
        </w:rPr>
      </w:pPr>
    </w:p>
    <w:p w:rsidR="004626CC" w:rsidRDefault="004626CC" w:rsidP="004626CC">
      <w:pPr>
        <w:jc w:val="both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 xml:space="preserve">OPIS POSLOVA RADNOG MJESTA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B7F01" w:rsidRPr="00B348B8" w:rsidTr="007955C7">
        <w:tc>
          <w:tcPr>
            <w:tcW w:w="9498" w:type="dxa"/>
          </w:tcPr>
          <w:p w:rsidR="008B7F01" w:rsidRPr="008B7F01" w:rsidRDefault="008B7F01" w:rsidP="008B7F01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8B7F01" w:rsidRPr="008B7F01" w:rsidRDefault="008B7F01" w:rsidP="008B7F01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B7F01">
              <w:rPr>
                <w:rFonts w:eastAsia="Calibri"/>
                <w:sz w:val="22"/>
                <w:szCs w:val="22"/>
              </w:rPr>
              <w:t>Vodi postupak i rješava u složenijim upravnim stvarima koje se odnose na upis u obrtni registar i vođenje obrtnog registra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8B7F01" w:rsidRPr="008B7F01" w:rsidRDefault="008B7F01" w:rsidP="008B7F01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B7F01">
              <w:rPr>
                <w:rFonts w:eastAsia="Calibri"/>
                <w:sz w:val="22"/>
                <w:szCs w:val="22"/>
              </w:rPr>
              <w:t>Vodi postupak i rješava u složenijim upravnim stvarima koje se odnose na utvrđivanje propisanih minimalnih uvjeta u ugostiteljskim objektima, razvrstavanje i kategorizaciju ugostiteljskih objekata, razvrstavanje i kategorizaciju objekata u kojima se pružaju ugostiteljske usluge u domaćinstvu, utvrđivanje minimalnih uvjeta za vrstu i kategoriju objekata u kojima se pružaju ugostiteljske usluge na obiteljskom poljoprivrednom gospodarstvu.</w:t>
            </w:r>
          </w:p>
          <w:p w:rsidR="008B7F01" w:rsidRPr="008B7F01" w:rsidRDefault="008B7F01" w:rsidP="008B7F01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B7F01">
              <w:rPr>
                <w:rFonts w:eastAsia="Calibri"/>
                <w:sz w:val="22"/>
                <w:szCs w:val="22"/>
              </w:rPr>
              <w:t>Vodi postupak i rješava u složenijim upravnim stvarima koje se odnose na izdavanje odobrenja i iskaznica za rad turističkih vodiča, izdavanje EU potvrda za turističke vodiče.</w:t>
            </w:r>
          </w:p>
          <w:p w:rsidR="008B7F01" w:rsidRPr="008B7F01" w:rsidRDefault="008B7F01" w:rsidP="008B7F01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B7F01">
              <w:rPr>
                <w:rFonts w:eastAsia="Calibri"/>
                <w:sz w:val="22"/>
                <w:szCs w:val="22"/>
              </w:rPr>
              <w:t>Sudjeluje u radu povjerenstva koje provodi postupak kojim se utvrđuje ispunjavanje minimalnih uvjeta za ugostiteljske objekte koji se ne kategoriziraju te sudjeluje u radu povjerenstva koje obavlja očevid u postupku utvrđivanja ispunjavanja uvjeta za vrstu i kategoriju ugostiteljskih objekata za smještaj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8B7F01" w:rsidRPr="008B7F01" w:rsidRDefault="008B7F01" w:rsidP="008B7F01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B7F01">
              <w:rPr>
                <w:rFonts w:eastAsia="Calibri"/>
                <w:sz w:val="22"/>
                <w:szCs w:val="22"/>
              </w:rPr>
              <w:t>Vodi postupak i rješava u složenijim upravnim stvarima koje se odnose na utvrđivanje ispunjavanja minimalnih tehničkih uvjeta i drugih propisanih uvjeta za prodajne objekte, opremu i sredstva za obavljanje djelatnosti trgovine, izdavanje i oduzimanje dozvola za obavljanje poslova javnog komisionara Hrvatskoj gospodarskoj komori za pojedinu javnu komisionu prodavaonicu, odnosno javnom komisionaru te obavlja opći nadzor nad radom javnih komisionara.</w:t>
            </w:r>
          </w:p>
          <w:p w:rsidR="008B7F01" w:rsidRPr="008B7F01" w:rsidRDefault="008B7F01" w:rsidP="008B7F01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B7F01">
              <w:rPr>
                <w:rFonts w:eastAsia="Calibri"/>
                <w:sz w:val="22"/>
                <w:szCs w:val="22"/>
              </w:rPr>
              <w:t>Vodi postupak i rješava u složenijim upravnim stvarima koje se odnose na izdavanje licencije za obavljanje djelatnosti unutarnjeg javnog cestovnog prijevoza, izdavanje rješenja, potvrda i izvoda iz prijave za obavljanje prijevoza za vlastite potrebe, te izdavanje znakova pristupačnosti na ime osobe s invaliditetom.</w:t>
            </w:r>
          </w:p>
          <w:p w:rsidR="008B7F01" w:rsidRPr="008B7F01" w:rsidRDefault="008B7F01" w:rsidP="008B7F01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B7F01">
              <w:rPr>
                <w:rFonts w:eastAsia="Calibri"/>
                <w:sz w:val="22"/>
                <w:szCs w:val="22"/>
              </w:rPr>
              <w:t xml:space="preserve">Vodi postupak i rješava u složenijim upravnim stvarima koje se odnose na utvrđivanje uvjeta za obavljanje </w:t>
            </w:r>
            <w:proofErr w:type="spellStart"/>
            <w:r w:rsidRPr="008B7F01">
              <w:rPr>
                <w:rFonts w:eastAsia="Calibri"/>
                <w:sz w:val="22"/>
                <w:szCs w:val="22"/>
              </w:rPr>
              <w:t>pogrebničke</w:t>
            </w:r>
            <w:proofErr w:type="spellEnd"/>
            <w:r w:rsidRPr="008B7F01">
              <w:rPr>
                <w:rFonts w:eastAsia="Calibri"/>
                <w:sz w:val="22"/>
                <w:szCs w:val="22"/>
              </w:rPr>
              <w:t xml:space="preserve"> djelatnosti.</w:t>
            </w:r>
          </w:p>
          <w:p w:rsidR="008B7F01" w:rsidRPr="008B7F01" w:rsidRDefault="008B7F01" w:rsidP="008B7F01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B7F01">
              <w:rPr>
                <w:rFonts w:eastAsia="Calibri"/>
                <w:sz w:val="22"/>
                <w:szCs w:val="22"/>
              </w:rPr>
              <w:t>Vodi postupak i rješava u složenijim upravnim stvarima koje se odnose na utvrđivanje uvjeta prostora, opremljenosti prostora odgovarajućom opremom u stambenom ili poslovnom prostoru namijenjenom za obavljanje djelatnosti dadilje.</w:t>
            </w:r>
          </w:p>
          <w:p w:rsidR="008B7F01" w:rsidRPr="008B7F01" w:rsidRDefault="008B7F01" w:rsidP="008B7F01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B7F01">
              <w:rPr>
                <w:rFonts w:eastAsia="Calibri"/>
                <w:sz w:val="22"/>
                <w:szCs w:val="22"/>
              </w:rPr>
              <w:t>Vodi postupak i rješava u složenijim upravnim stvarima koje se odnose na utvrđivanje uvjeta za brisanje zadruga iz sudskog registra.</w:t>
            </w:r>
          </w:p>
          <w:p w:rsidR="008B7F01" w:rsidRPr="008B7F01" w:rsidRDefault="008B7F01" w:rsidP="008B7F01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B7F01">
              <w:rPr>
                <w:rFonts w:eastAsia="Calibri"/>
                <w:sz w:val="22"/>
                <w:szCs w:val="22"/>
              </w:rPr>
              <w:t>Vodi postupak i rješava u složenijim upravnim stvarima koje se odnose na promjenu namjene poljoprivrednog zemljišta.</w:t>
            </w:r>
          </w:p>
          <w:p w:rsidR="008B7F01" w:rsidRPr="008B7F01" w:rsidRDefault="008B7F01" w:rsidP="008B7F0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2"/>
                <w:szCs w:val="22"/>
              </w:rPr>
            </w:pPr>
            <w:r w:rsidRPr="008B7F01">
              <w:rPr>
                <w:rFonts w:eastAsia="Calibri"/>
                <w:sz w:val="22"/>
                <w:szCs w:val="22"/>
              </w:rPr>
              <w:t>Vodi postupak i rješava u upravnim postupcima registracije dobavljača božićnih drvaca, prikuplja podatke o proizvodnji božićnih drvaca.</w:t>
            </w:r>
          </w:p>
          <w:p w:rsidR="008B7F01" w:rsidRPr="008B7F01" w:rsidRDefault="008B7F01" w:rsidP="008B7F01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B7F01">
              <w:rPr>
                <w:rFonts w:eastAsia="Calibri"/>
                <w:sz w:val="22"/>
                <w:szCs w:val="22"/>
              </w:rPr>
              <w:t xml:space="preserve">U okviru nadležnosti upravnog odjela sudjeluje u provođenju poslova vezanih za razvoj sustava unutarnjih kontrola, sastavljanje izjava o fiskalnoj odgovornosti, utvrđivanje plana otklanjanja slabosti i nepravilnosti i njegovoj provedbi, sastavljanje izvješća o provedbi ovog plana.  Izrađuje polugodišnja i godišnja izvješća o izvršenju Proračuna prema programi-ma/projektima/aktivnostima i dostavlja podatke za izradu izvješća o radu župana sukladno opisu poslova i nadležnosti Upravnog odjela sukladno opisu </w:t>
            </w:r>
            <w:r w:rsidRPr="008B7F01">
              <w:rPr>
                <w:rFonts w:eastAsia="Calibri"/>
                <w:sz w:val="22"/>
                <w:szCs w:val="22"/>
              </w:rPr>
              <w:lastRenderedPageBreak/>
              <w:t>poslova i nadležnosti Upravnog odjela. Sudjeluje u radu tima za uvođenje odgovarajućeg sustava kvalitete, prema međunarodnim standardima u poslovni sustav Županije.</w:t>
            </w:r>
          </w:p>
          <w:p w:rsidR="008B7F01" w:rsidRPr="008B7F01" w:rsidRDefault="008B7F01" w:rsidP="008B7F01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B7F01">
              <w:rPr>
                <w:rFonts w:eastAsia="Calibri"/>
                <w:sz w:val="22"/>
                <w:szCs w:val="22"/>
              </w:rPr>
              <w:t>Daje upute i pruža stručnu pomoć strankama u postupku.</w:t>
            </w:r>
          </w:p>
          <w:p w:rsidR="008B7F01" w:rsidRPr="008B7F01" w:rsidRDefault="008B7F01" w:rsidP="008B7F01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B7F01">
              <w:rPr>
                <w:rFonts w:eastAsia="Calibri"/>
                <w:sz w:val="22"/>
                <w:szCs w:val="22"/>
              </w:rPr>
              <w:t>Obavlja i druge poslove po nalogu pročelnika.</w:t>
            </w:r>
          </w:p>
        </w:tc>
      </w:tr>
    </w:tbl>
    <w:p w:rsidR="0011264D" w:rsidRPr="008F4943" w:rsidRDefault="0011264D" w:rsidP="004626CC">
      <w:pPr>
        <w:jc w:val="both"/>
        <w:rPr>
          <w:b/>
          <w:sz w:val="22"/>
          <w:szCs w:val="22"/>
          <w:u w:val="single"/>
        </w:rPr>
      </w:pPr>
    </w:p>
    <w:p w:rsidR="004626CC" w:rsidRPr="00877D2D" w:rsidRDefault="004626CC" w:rsidP="004626CC">
      <w:pPr>
        <w:ind w:right="34"/>
        <w:jc w:val="both"/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  <w:lang w:val="pl-PL"/>
        </w:rPr>
        <w:t>Podaci</w:t>
      </w:r>
      <w:r w:rsidRPr="00877D2D">
        <w:rPr>
          <w:b/>
          <w:sz w:val="24"/>
          <w:szCs w:val="24"/>
          <w:u w:val="single"/>
        </w:rPr>
        <w:t xml:space="preserve"> </w:t>
      </w:r>
      <w:r w:rsidRPr="00877D2D">
        <w:rPr>
          <w:b/>
          <w:sz w:val="24"/>
          <w:szCs w:val="24"/>
          <w:u w:val="single"/>
          <w:lang w:val="pl-PL"/>
        </w:rPr>
        <w:t>o</w:t>
      </w:r>
      <w:r w:rsidRPr="00877D2D">
        <w:rPr>
          <w:b/>
          <w:sz w:val="24"/>
          <w:szCs w:val="24"/>
          <w:u w:val="single"/>
        </w:rPr>
        <w:t xml:space="preserve"> </w:t>
      </w:r>
      <w:r w:rsidRPr="00877D2D">
        <w:rPr>
          <w:b/>
          <w:sz w:val="24"/>
          <w:szCs w:val="24"/>
          <w:u w:val="single"/>
          <w:lang w:val="pl-PL"/>
        </w:rPr>
        <w:t>pla</w:t>
      </w:r>
      <w:r w:rsidRPr="00877D2D">
        <w:rPr>
          <w:b/>
          <w:sz w:val="24"/>
          <w:szCs w:val="24"/>
          <w:u w:val="single"/>
        </w:rPr>
        <w:t>ć</w:t>
      </w:r>
      <w:r w:rsidRPr="00877D2D">
        <w:rPr>
          <w:b/>
          <w:sz w:val="24"/>
          <w:szCs w:val="24"/>
          <w:u w:val="single"/>
          <w:lang w:val="pl-PL"/>
        </w:rPr>
        <w:t>i</w:t>
      </w:r>
    </w:p>
    <w:p w:rsidR="007529C5" w:rsidRPr="00083234" w:rsidRDefault="007529C5" w:rsidP="008F4943">
      <w:pPr>
        <w:jc w:val="both"/>
        <w:rPr>
          <w:sz w:val="22"/>
          <w:szCs w:val="22"/>
          <w:lang w:val="pl-PL"/>
        </w:rPr>
      </w:pPr>
      <w:r w:rsidRPr="008F4943">
        <w:rPr>
          <w:sz w:val="22"/>
          <w:szCs w:val="22"/>
          <w:lang w:val="pl-PL"/>
        </w:rPr>
        <w:t xml:space="preserve">Podaci o plaći radnog mjesta propisani su </w:t>
      </w:r>
      <w:r w:rsidR="002F53D5" w:rsidRPr="008F4943">
        <w:rPr>
          <w:sz w:val="22"/>
          <w:szCs w:val="22"/>
          <w:lang w:eastAsia="hr-HR"/>
        </w:rPr>
        <w:t xml:space="preserve">Odlukom o osnovici za obračun plaće službenika i namještenika u upravnim odjelima i službama Koprivničko-križevačke županije („Službeni glasnik Koprivničko-križevačke županije“ broj 19/18.) osnovica je određena u iznosu 2.230,00 kuna </w:t>
      </w:r>
      <w:r w:rsidRPr="008F4943">
        <w:rPr>
          <w:sz w:val="22"/>
          <w:szCs w:val="22"/>
          <w:lang w:val="pl-PL"/>
        </w:rPr>
        <w:t xml:space="preserve">i Odlukom o koeficijentima za obračun plaće službenika i namještenika u upravnim tijelima Koprivničko-križevačke županije ("Službeni glasnik Koprivničko-križevačke županije" broj </w:t>
      </w:r>
      <w:r w:rsidR="00164BB2">
        <w:rPr>
          <w:sz w:val="22"/>
          <w:szCs w:val="22"/>
          <w:lang w:val="pl-PL"/>
        </w:rPr>
        <w:t>18/19</w:t>
      </w:r>
      <w:r w:rsidRPr="008F4943">
        <w:rPr>
          <w:sz w:val="22"/>
          <w:szCs w:val="22"/>
          <w:lang w:val="pl-PL"/>
        </w:rPr>
        <w:t xml:space="preserve">.), za poslove </w:t>
      </w:r>
      <w:r w:rsidR="006718AB">
        <w:rPr>
          <w:sz w:val="22"/>
          <w:szCs w:val="22"/>
          <w:lang w:val="pl-PL"/>
        </w:rPr>
        <w:t>višeg stručnog suradnika</w:t>
      </w:r>
      <w:r w:rsidRPr="008F4943">
        <w:rPr>
          <w:sz w:val="22"/>
          <w:szCs w:val="22"/>
          <w:lang w:val="pl-PL"/>
        </w:rPr>
        <w:t xml:space="preserve"> je koeficijent </w:t>
      </w:r>
      <w:r w:rsidR="007557E6">
        <w:rPr>
          <w:sz w:val="22"/>
          <w:szCs w:val="22"/>
          <w:lang w:val="pl-PL"/>
        </w:rPr>
        <w:t>3,</w:t>
      </w:r>
      <w:r w:rsidR="006718AB">
        <w:rPr>
          <w:sz w:val="22"/>
          <w:szCs w:val="22"/>
          <w:lang w:val="pl-PL"/>
        </w:rPr>
        <w:t>95</w:t>
      </w:r>
      <w:r w:rsidRPr="008F4943">
        <w:rPr>
          <w:sz w:val="22"/>
          <w:szCs w:val="22"/>
          <w:lang w:val="pl-PL"/>
        </w:rPr>
        <w:t>. Slijedom navedenog plaća čini umnožak osnovice za obračun plaća i koeficijenta složenosti poslova uvećan za 0,5 % za svaku navršenu godinu radnog staža.</w:t>
      </w:r>
    </w:p>
    <w:p w:rsidR="007529C5" w:rsidRPr="00877D2D" w:rsidRDefault="007529C5" w:rsidP="004626CC">
      <w:pPr>
        <w:jc w:val="both"/>
        <w:rPr>
          <w:sz w:val="24"/>
          <w:szCs w:val="24"/>
        </w:rPr>
      </w:pPr>
    </w:p>
    <w:p w:rsidR="00D86CDE" w:rsidRPr="008F4943" w:rsidRDefault="00D86CDE" w:rsidP="00D86CDE">
      <w:pPr>
        <w:jc w:val="both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 xml:space="preserve">Prethodnoj provjeri znanja kandidata mogu pristupiti samo kandidati koji ispunjavaju formalne uvjete iz </w:t>
      </w:r>
      <w:r w:rsidR="00FB3786">
        <w:rPr>
          <w:b/>
          <w:sz w:val="22"/>
          <w:szCs w:val="22"/>
        </w:rPr>
        <w:t>javnog natječaja</w:t>
      </w:r>
      <w:r w:rsidRPr="008F4943">
        <w:rPr>
          <w:b/>
          <w:sz w:val="22"/>
          <w:szCs w:val="22"/>
        </w:rPr>
        <w:t xml:space="preserve">. Prethodna provjera znanja kandidata obavlja se putem pisanog testiranja i intervjua. </w:t>
      </w:r>
    </w:p>
    <w:p w:rsidR="00D86CDE" w:rsidRPr="008F4943" w:rsidRDefault="00D86CDE" w:rsidP="00D86CDE">
      <w:pPr>
        <w:rPr>
          <w:b/>
          <w:sz w:val="22"/>
          <w:szCs w:val="22"/>
        </w:rPr>
      </w:pPr>
    </w:p>
    <w:p w:rsidR="00D86CDE" w:rsidRPr="008F4943" w:rsidRDefault="00D86CDE" w:rsidP="00D86CDE">
      <w:pPr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>PRAVNI IZVORI ZA PRIPREMANJE KANDIDATA ZA TESTIRANJE:</w:t>
      </w:r>
    </w:p>
    <w:p w:rsidR="00D86CDE" w:rsidRPr="008F4943" w:rsidRDefault="00D86CDE" w:rsidP="00D86CDE">
      <w:pPr>
        <w:jc w:val="both"/>
        <w:rPr>
          <w:b/>
          <w:sz w:val="22"/>
          <w:szCs w:val="22"/>
        </w:rPr>
      </w:pPr>
    </w:p>
    <w:p w:rsidR="00D86CDE" w:rsidRPr="008F4943" w:rsidRDefault="00D86CDE" w:rsidP="00D86CDE">
      <w:pPr>
        <w:jc w:val="both"/>
        <w:rPr>
          <w:b/>
          <w:sz w:val="22"/>
          <w:szCs w:val="22"/>
        </w:rPr>
      </w:pPr>
      <w:r w:rsidRPr="008F4943">
        <w:rPr>
          <w:b/>
          <w:sz w:val="22"/>
          <w:szCs w:val="22"/>
          <w:lang w:val="pl-PL"/>
        </w:rPr>
        <w:t>Provjera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znanja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bitnih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za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obavljanje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poslova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radnog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mjesta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na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koje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se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prima</w:t>
      </w:r>
      <w:r w:rsidRPr="008F4943">
        <w:rPr>
          <w:b/>
          <w:sz w:val="22"/>
          <w:szCs w:val="22"/>
        </w:rPr>
        <w:t xml:space="preserve"> – </w:t>
      </w:r>
      <w:r w:rsidRPr="008F4943">
        <w:rPr>
          <w:b/>
          <w:sz w:val="22"/>
          <w:szCs w:val="22"/>
          <w:u w:val="single"/>
          <w:lang w:val="pl-PL"/>
        </w:rPr>
        <w:t>PIS</w:t>
      </w:r>
      <w:r w:rsidR="00836ADE" w:rsidRPr="008F4943">
        <w:rPr>
          <w:b/>
          <w:sz w:val="22"/>
          <w:szCs w:val="22"/>
          <w:u w:val="single"/>
          <w:lang w:val="pl-PL"/>
        </w:rPr>
        <w:t xml:space="preserve">ANA </w:t>
      </w:r>
      <w:r w:rsidRPr="008F4943">
        <w:rPr>
          <w:b/>
          <w:sz w:val="22"/>
          <w:szCs w:val="22"/>
          <w:u w:val="single"/>
          <w:lang w:val="pl-PL"/>
        </w:rPr>
        <w:t>PROVJERA</w:t>
      </w:r>
      <w:r w:rsidRPr="008F4943">
        <w:rPr>
          <w:b/>
          <w:sz w:val="22"/>
          <w:szCs w:val="22"/>
          <w:u w:val="single"/>
        </w:rPr>
        <w:t xml:space="preserve"> </w:t>
      </w:r>
      <w:r w:rsidRPr="008F4943">
        <w:rPr>
          <w:b/>
          <w:sz w:val="22"/>
          <w:szCs w:val="22"/>
          <w:u w:val="single"/>
          <w:lang w:val="pl-PL"/>
        </w:rPr>
        <w:t>ZNANJA</w:t>
      </w:r>
      <w:r w:rsidRPr="008F4943">
        <w:rPr>
          <w:b/>
          <w:sz w:val="22"/>
          <w:szCs w:val="22"/>
        </w:rPr>
        <w:t xml:space="preserve"> </w:t>
      </w:r>
    </w:p>
    <w:p w:rsidR="00D86CDE" w:rsidRPr="008F4943" w:rsidRDefault="00D86CDE" w:rsidP="00D86CDE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Pitanja kojima se testira provjera znanja bitnih za obavljanje poslova radnog mjesta za koje je raspisan javni </w:t>
      </w:r>
      <w:r w:rsidR="00FB3786">
        <w:rPr>
          <w:sz w:val="22"/>
          <w:szCs w:val="22"/>
        </w:rPr>
        <w:t>natječaj</w:t>
      </w:r>
      <w:r w:rsidRPr="008F4943">
        <w:rPr>
          <w:sz w:val="22"/>
          <w:szCs w:val="22"/>
        </w:rPr>
        <w:t xml:space="preserve"> temelje se na sljedećim propisima: </w:t>
      </w:r>
    </w:p>
    <w:p w:rsidR="007955C7" w:rsidRPr="008F4943" w:rsidRDefault="007955C7" w:rsidP="008B5313">
      <w:pPr>
        <w:pStyle w:val="T-98-2"/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</w:rPr>
      </w:pPr>
    </w:p>
    <w:p w:rsidR="007557E6" w:rsidRPr="007557E6" w:rsidRDefault="007557E6" w:rsidP="007557E6">
      <w:pPr>
        <w:widowControl w:val="0"/>
        <w:tabs>
          <w:tab w:val="left" w:pos="2153"/>
        </w:tabs>
        <w:adjustRightInd w:val="0"/>
        <w:jc w:val="both"/>
        <w:rPr>
          <w:noProof/>
          <w:sz w:val="22"/>
          <w:szCs w:val="22"/>
          <w:u w:val="single"/>
          <w:lang w:val="pl-PL" w:eastAsia="hr-HR"/>
        </w:rPr>
      </w:pPr>
      <w:r w:rsidRPr="007557E6">
        <w:rPr>
          <w:noProof/>
          <w:sz w:val="22"/>
          <w:szCs w:val="22"/>
          <w:u w:val="single"/>
          <w:lang w:val="pl-PL" w:eastAsia="hr-HR"/>
        </w:rPr>
        <w:t>OPĆI DIO:</w:t>
      </w:r>
    </w:p>
    <w:p w:rsidR="007557E6" w:rsidRPr="007557E6" w:rsidRDefault="007557E6" w:rsidP="007557E6">
      <w:pPr>
        <w:keepNext/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  <w:rPr>
          <w:bCs/>
          <w:iCs/>
          <w:sz w:val="22"/>
          <w:szCs w:val="22"/>
          <w:lang w:eastAsia="hr-HR"/>
        </w:rPr>
      </w:pPr>
      <w:r w:rsidRPr="007557E6">
        <w:rPr>
          <w:bCs/>
          <w:iCs/>
          <w:sz w:val="22"/>
          <w:szCs w:val="22"/>
          <w:lang w:eastAsia="hr-HR"/>
        </w:rPr>
        <w:t xml:space="preserve">Ustav </w:t>
      </w:r>
      <w:r w:rsidRPr="007557E6">
        <w:rPr>
          <w:bCs/>
          <w:iCs/>
          <w:noProof/>
          <w:sz w:val="22"/>
          <w:szCs w:val="22"/>
          <w:lang w:val="pl-PL" w:eastAsia="hr-HR"/>
        </w:rPr>
        <w:t>Republike Hrvatske</w:t>
      </w:r>
      <w:r w:rsidRPr="007557E6">
        <w:rPr>
          <w:bCs/>
          <w:iCs/>
          <w:sz w:val="22"/>
          <w:szCs w:val="22"/>
          <w:lang w:eastAsia="hr-HR"/>
        </w:rPr>
        <w:t xml:space="preserve"> ("Narodne novine" broj 56/90., 135/97., 8/98.,  113/00., 124/00., 28/01., 41/01., 55/01., 76/10., 85/10. – pročišćeni tekst i 5/14.),</w:t>
      </w:r>
    </w:p>
    <w:p w:rsidR="007557E6" w:rsidRPr="007557E6" w:rsidRDefault="007557E6" w:rsidP="007557E6">
      <w:pPr>
        <w:widowControl w:val="0"/>
        <w:numPr>
          <w:ilvl w:val="0"/>
          <w:numId w:val="9"/>
        </w:numPr>
        <w:tabs>
          <w:tab w:val="left" w:pos="426"/>
        </w:tabs>
        <w:adjustRightInd w:val="0"/>
        <w:ind w:left="0" w:firstLine="0"/>
        <w:jc w:val="both"/>
        <w:rPr>
          <w:noProof/>
          <w:sz w:val="22"/>
          <w:szCs w:val="22"/>
          <w:lang w:val="pl-PL" w:eastAsia="hr-HR"/>
        </w:rPr>
      </w:pPr>
      <w:r w:rsidRPr="007557E6">
        <w:rPr>
          <w:noProof/>
          <w:sz w:val="22"/>
          <w:szCs w:val="22"/>
          <w:lang w:val="pl-PL" w:eastAsia="hr-HR"/>
        </w:rPr>
        <w:t xml:space="preserve">Zakon o lokalnoj i područnoj (regionalnoj) samoupravi ("Narodne novine" broj </w:t>
      </w:r>
      <w:r w:rsidRPr="007557E6">
        <w:rPr>
          <w:color w:val="000000"/>
          <w:sz w:val="22"/>
          <w:szCs w:val="22"/>
          <w:lang w:eastAsia="hr-HR"/>
        </w:rPr>
        <w:t>33/01., 60/01., 129/05., 109/07., 125/08., 36/09., 150/11., 144/12. , 19/13. – pročišćeni tekst, 137/15., 123/17. i 98/19.),</w:t>
      </w:r>
    </w:p>
    <w:p w:rsidR="008F4943" w:rsidRDefault="008F4943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</w:p>
    <w:p w:rsidR="00D86CDE" w:rsidRPr="008F4943" w:rsidRDefault="00185F65" w:rsidP="006F1401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  <w:r w:rsidRPr="008F4943">
        <w:rPr>
          <w:rFonts w:ascii="Times New Roman" w:hAnsi="Times New Roman"/>
          <w:sz w:val="22"/>
          <w:szCs w:val="22"/>
          <w:u w:val="single"/>
        </w:rPr>
        <w:t>POSEBNI DIO:</w:t>
      </w:r>
    </w:p>
    <w:p w:rsidR="005B0E26" w:rsidRPr="005B0E26" w:rsidRDefault="005B0E26" w:rsidP="005B0E26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</w:rPr>
      </w:pPr>
      <w:r w:rsidRPr="005B0E26">
        <w:rPr>
          <w:rFonts w:eastAsia="Calibri"/>
          <w:sz w:val="22"/>
          <w:szCs w:val="22"/>
        </w:rPr>
        <w:t>Zakon o obrtu („Narodne novine“ broj 143/13. i 127/19.),</w:t>
      </w:r>
    </w:p>
    <w:p w:rsidR="005B0E26" w:rsidRPr="005B0E26" w:rsidRDefault="005B0E26" w:rsidP="005B0E26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</w:rPr>
      </w:pPr>
      <w:r w:rsidRPr="005B0E26">
        <w:rPr>
          <w:rFonts w:eastAsia="Calibri"/>
          <w:sz w:val="22"/>
          <w:szCs w:val="22"/>
        </w:rPr>
        <w:t>Pravilnik o obliku i načinu vođenja obrtnog registra („Narodne novine“ broj 58/09.),</w:t>
      </w:r>
    </w:p>
    <w:p w:rsidR="005B0E26" w:rsidRPr="005B0E26" w:rsidRDefault="005B0E26" w:rsidP="005B0E26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</w:rPr>
      </w:pPr>
      <w:r w:rsidRPr="005B0E26">
        <w:rPr>
          <w:rFonts w:eastAsia="Calibri"/>
          <w:sz w:val="22"/>
          <w:szCs w:val="22"/>
        </w:rPr>
        <w:t>Pravilnik o minimalnim tehničkim i drugim uvjetima koji se odnose na prodajne objekte, opremu i sredstva u prodajnim objektima i uvjetima za prodaju robe izvan prodavaonica ("Narodne novine” broj 66/09., 108/09., 8/10., 108/14.),</w:t>
      </w:r>
    </w:p>
    <w:p w:rsidR="005B0E26" w:rsidRPr="005B0E26" w:rsidRDefault="005B0E26" w:rsidP="005B0E26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</w:rPr>
      </w:pPr>
      <w:r w:rsidRPr="005B0E26">
        <w:rPr>
          <w:rFonts w:eastAsia="Calibri"/>
          <w:sz w:val="22"/>
          <w:szCs w:val="22"/>
        </w:rPr>
        <w:t>Zakon o pružanju usluga u turizmu („Narodne novine“ broj 130/17., 25/19. i 98/19.)</w:t>
      </w:r>
    </w:p>
    <w:p w:rsidR="005B0E26" w:rsidRPr="005B0E26" w:rsidRDefault="005B0E26" w:rsidP="005B0E26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</w:rPr>
      </w:pPr>
      <w:r w:rsidRPr="005B0E26">
        <w:rPr>
          <w:rFonts w:eastAsia="Calibri"/>
          <w:sz w:val="22"/>
          <w:szCs w:val="22"/>
        </w:rPr>
        <w:t>Zakona o sigurnosti prometa na cestama (“Narodne novine” broj 67/08., 48/10., 74/11., 80/13</w:t>
      </w:r>
      <w:r>
        <w:rPr>
          <w:rFonts w:eastAsia="Calibri"/>
          <w:sz w:val="22"/>
          <w:szCs w:val="22"/>
        </w:rPr>
        <w:t>.</w:t>
      </w:r>
      <w:r w:rsidRPr="005B0E26">
        <w:rPr>
          <w:rFonts w:eastAsia="Calibri"/>
          <w:sz w:val="22"/>
          <w:szCs w:val="22"/>
        </w:rPr>
        <w:t xml:space="preserve">, 158/13., 92/14., 64/15., 108/17. i 70/19.) </w:t>
      </w:r>
    </w:p>
    <w:p w:rsidR="005B0E26" w:rsidRPr="005B0E26" w:rsidRDefault="005B0E26" w:rsidP="005B0E26">
      <w:pPr>
        <w:numPr>
          <w:ilvl w:val="0"/>
          <w:numId w:val="18"/>
        </w:numPr>
        <w:tabs>
          <w:tab w:val="left" w:pos="426"/>
        </w:tabs>
        <w:spacing w:line="240" w:lineRule="atLeast"/>
        <w:ind w:left="0" w:firstLine="0"/>
        <w:jc w:val="both"/>
        <w:rPr>
          <w:rFonts w:eastAsia="Calibri"/>
          <w:sz w:val="22"/>
          <w:szCs w:val="22"/>
          <w:lang w:eastAsia="hr-HR"/>
        </w:rPr>
      </w:pPr>
      <w:r w:rsidRPr="005B0E26">
        <w:rPr>
          <w:rFonts w:eastAsia="Calibri"/>
          <w:sz w:val="22"/>
          <w:szCs w:val="22"/>
          <w:lang w:eastAsia="hr-HR"/>
        </w:rPr>
        <w:t>Pravilnik o licencijama u djelatnosti cestovnog prijevoza („Narodne novine“ broj 50/18</w:t>
      </w:r>
      <w:r>
        <w:rPr>
          <w:rFonts w:eastAsia="Calibri"/>
          <w:sz w:val="22"/>
          <w:szCs w:val="22"/>
          <w:lang w:eastAsia="hr-HR"/>
        </w:rPr>
        <w:t>.</w:t>
      </w:r>
      <w:r w:rsidRPr="005B0E26">
        <w:rPr>
          <w:rFonts w:eastAsia="Calibri"/>
          <w:sz w:val="22"/>
          <w:szCs w:val="22"/>
          <w:lang w:eastAsia="hr-HR"/>
        </w:rPr>
        <w:t>)</w:t>
      </w:r>
    </w:p>
    <w:p w:rsidR="005B0E26" w:rsidRPr="005B0E26" w:rsidRDefault="005B0E26" w:rsidP="005B0E26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eastAsia="Calibri"/>
          <w:sz w:val="22"/>
          <w:szCs w:val="22"/>
        </w:rPr>
      </w:pPr>
      <w:r w:rsidRPr="005B0E26">
        <w:rPr>
          <w:rFonts w:eastAsia="Calibri"/>
          <w:sz w:val="22"/>
          <w:szCs w:val="22"/>
        </w:rPr>
        <w:t xml:space="preserve">Pravilnik o znaku pristupačnosti („Narodne novine” 78/08, 87/14.) </w:t>
      </w:r>
    </w:p>
    <w:p w:rsidR="005B0E26" w:rsidRPr="005B0E26" w:rsidRDefault="005B0E26" w:rsidP="005B0E26">
      <w:pPr>
        <w:numPr>
          <w:ilvl w:val="0"/>
          <w:numId w:val="18"/>
        </w:numPr>
        <w:tabs>
          <w:tab w:val="left" w:pos="426"/>
        </w:tabs>
        <w:ind w:left="0" w:firstLine="0"/>
        <w:rPr>
          <w:rFonts w:eastAsia="Calibri"/>
          <w:sz w:val="22"/>
          <w:szCs w:val="22"/>
        </w:rPr>
      </w:pPr>
      <w:r w:rsidRPr="005B0E26">
        <w:rPr>
          <w:rFonts w:eastAsia="Calibri"/>
          <w:sz w:val="22"/>
          <w:szCs w:val="22"/>
        </w:rPr>
        <w:t>Pravilnik o razvrstavanju i minimalnim uvjetima ugostiteljskih objekata iz skupina „Restorani“, „Barovi“, „</w:t>
      </w:r>
      <w:proofErr w:type="spellStart"/>
      <w:r w:rsidRPr="005B0E26">
        <w:rPr>
          <w:rFonts w:eastAsia="Calibri"/>
          <w:sz w:val="22"/>
          <w:szCs w:val="22"/>
        </w:rPr>
        <w:t>Catering</w:t>
      </w:r>
      <w:proofErr w:type="spellEnd"/>
      <w:r w:rsidRPr="005B0E26">
        <w:rPr>
          <w:rFonts w:eastAsia="Calibri"/>
          <w:sz w:val="22"/>
          <w:szCs w:val="22"/>
        </w:rPr>
        <w:t xml:space="preserve"> objekti“ i „Objekti jednostavnih usluga“ („Narodne novine“ broj 82/07., 82/09., 75/12., 69/13.  i 150/14.).</w:t>
      </w:r>
    </w:p>
    <w:p w:rsidR="00374EBB" w:rsidRDefault="00374EBB" w:rsidP="005F6FC1">
      <w:pPr>
        <w:pStyle w:val="Odlomakpopisa"/>
        <w:ind w:left="360"/>
        <w:jc w:val="both"/>
        <w:rPr>
          <w:rFonts w:eastAsia="Calibri"/>
          <w:sz w:val="22"/>
          <w:szCs w:val="22"/>
        </w:rPr>
      </w:pPr>
    </w:p>
    <w:p w:rsidR="004626CC" w:rsidRPr="008F4943" w:rsidRDefault="004626CC" w:rsidP="004626CC">
      <w:pPr>
        <w:jc w:val="center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>…………………………………………………………………………………………………...</w:t>
      </w:r>
    </w:p>
    <w:p w:rsidR="007955C7" w:rsidRPr="008F4943" w:rsidRDefault="007955C7" w:rsidP="00501552">
      <w:pPr>
        <w:jc w:val="both"/>
        <w:rPr>
          <w:b/>
          <w:sz w:val="22"/>
          <w:szCs w:val="22"/>
          <w:u w:val="single"/>
        </w:rPr>
      </w:pPr>
    </w:p>
    <w:p w:rsidR="0012766E" w:rsidRPr="008F4943" w:rsidRDefault="0012766E" w:rsidP="0012766E">
      <w:pPr>
        <w:jc w:val="both"/>
        <w:rPr>
          <w:sz w:val="22"/>
          <w:szCs w:val="22"/>
        </w:rPr>
      </w:pPr>
      <w:r w:rsidRPr="008F4943">
        <w:rPr>
          <w:b/>
          <w:sz w:val="22"/>
          <w:szCs w:val="22"/>
          <w:lang w:val="it-IT"/>
        </w:rPr>
        <w:t xml:space="preserve">POZIV ZA TESTIRANJE BITI ĆE OBJAVLJEN, </w:t>
      </w:r>
      <w:r w:rsidRPr="008F4943">
        <w:rPr>
          <w:b/>
          <w:sz w:val="22"/>
          <w:szCs w:val="22"/>
          <w:u w:val="single"/>
          <w:lang w:val="it-IT"/>
        </w:rPr>
        <w:t>NAJMANJE 5 DANA PRIJE TESTIRANJA</w:t>
      </w:r>
      <w:r w:rsidRPr="008F4943">
        <w:rPr>
          <w:b/>
          <w:sz w:val="22"/>
          <w:szCs w:val="22"/>
          <w:lang w:val="it-IT"/>
        </w:rPr>
        <w:t xml:space="preserve"> </w:t>
      </w:r>
      <w:r w:rsidRPr="008F4943">
        <w:rPr>
          <w:b/>
          <w:sz w:val="22"/>
          <w:szCs w:val="22"/>
          <w:u w:val="single"/>
          <w:lang w:val="it-IT"/>
        </w:rPr>
        <w:t>NA WEB-STRANICI I OGLASNOJ PLOČI KOPRIVNIČKO-KRIŽEVAČKE ŽUPANIJE</w:t>
      </w:r>
      <w:r w:rsidRPr="008F4943">
        <w:rPr>
          <w:b/>
          <w:sz w:val="22"/>
          <w:szCs w:val="22"/>
          <w:lang w:val="it-IT"/>
        </w:rPr>
        <w:t xml:space="preserve">. </w:t>
      </w:r>
    </w:p>
    <w:p w:rsidR="0012766E" w:rsidRPr="008F4943" w:rsidRDefault="0012766E" w:rsidP="0012766E">
      <w:pPr>
        <w:jc w:val="center"/>
        <w:rPr>
          <w:b/>
          <w:sz w:val="22"/>
          <w:szCs w:val="22"/>
          <w:u w:val="single"/>
        </w:rPr>
      </w:pPr>
    </w:p>
    <w:p w:rsidR="0012766E" w:rsidRDefault="0012766E" w:rsidP="0012766E">
      <w:pPr>
        <w:jc w:val="center"/>
        <w:rPr>
          <w:b/>
          <w:sz w:val="22"/>
          <w:szCs w:val="22"/>
          <w:u w:val="single"/>
        </w:rPr>
      </w:pPr>
    </w:p>
    <w:p w:rsidR="00FB3786" w:rsidRDefault="00FB3786" w:rsidP="0012766E">
      <w:pPr>
        <w:jc w:val="center"/>
        <w:rPr>
          <w:b/>
          <w:sz w:val="22"/>
          <w:szCs w:val="22"/>
          <w:u w:val="single"/>
        </w:rPr>
      </w:pPr>
    </w:p>
    <w:p w:rsidR="00FB3786" w:rsidRDefault="00FB3786" w:rsidP="0012766E">
      <w:pPr>
        <w:jc w:val="center"/>
        <w:rPr>
          <w:b/>
          <w:sz w:val="22"/>
          <w:szCs w:val="22"/>
          <w:u w:val="single"/>
        </w:rPr>
      </w:pPr>
    </w:p>
    <w:p w:rsidR="005B0E26" w:rsidRDefault="005B0E26" w:rsidP="0012766E">
      <w:pPr>
        <w:jc w:val="center"/>
        <w:rPr>
          <w:b/>
          <w:sz w:val="22"/>
          <w:szCs w:val="22"/>
          <w:u w:val="single"/>
        </w:rPr>
      </w:pPr>
    </w:p>
    <w:p w:rsidR="005B0E26" w:rsidRDefault="005B0E26" w:rsidP="0012766E">
      <w:pPr>
        <w:jc w:val="center"/>
        <w:rPr>
          <w:b/>
          <w:sz w:val="22"/>
          <w:szCs w:val="22"/>
          <w:u w:val="single"/>
        </w:rPr>
      </w:pPr>
    </w:p>
    <w:p w:rsidR="00FB3786" w:rsidRDefault="00FB3786" w:rsidP="0012766E">
      <w:pPr>
        <w:jc w:val="center"/>
        <w:rPr>
          <w:b/>
          <w:sz w:val="22"/>
          <w:szCs w:val="22"/>
          <w:u w:val="single"/>
        </w:rPr>
      </w:pPr>
    </w:p>
    <w:p w:rsidR="00FB3786" w:rsidRDefault="00FB3786" w:rsidP="0012766E">
      <w:pPr>
        <w:jc w:val="center"/>
        <w:rPr>
          <w:b/>
          <w:sz w:val="22"/>
          <w:szCs w:val="22"/>
          <w:u w:val="single"/>
        </w:rPr>
      </w:pPr>
    </w:p>
    <w:p w:rsidR="006F0BAD" w:rsidRDefault="006F0BAD" w:rsidP="0012766E">
      <w:pPr>
        <w:jc w:val="center"/>
        <w:rPr>
          <w:b/>
          <w:sz w:val="22"/>
          <w:szCs w:val="22"/>
          <w:u w:val="single"/>
        </w:rPr>
      </w:pPr>
    </w:p>
    <w:p w:rsidR="006F1401" w:rsidRPr="008F4943" w:rsidRDefault="006F1401" w:rsidP="0012766E">
      <w:pPr>
        <w:jc w:val="center"/>
        <w:rPr>
          <w:b/>
          <w:sz w:val="22"/>
          <w:szCs w:val="22"/>
          <w:u w:val="single"/>
        </w:rPr>
      </w:pPr>
    </w:p>
    <w:p w:rsidR="0012766E" w:rsidRPr="008F4943" w:rsidRDefault="0012766E" w:rsidP="0012766E">
      <w:pPr>
        <w:jc w:val="center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 xml:space="preserve">PRAVILA I POSTUPAK TESTIRANJA </w:t>
      </w:r>
    </w:p>
    <w:p w:rsidR="00877D2D" w:rsidRPr="008F4943" w:rsidRDefault="00877D2D" w:rsidP="004F6D7F">
      <w:pPr>
        <w:jc w:val="both"/>
        <w:rPr>
          <w:b/>
          <w:sz w:val="22"/>
          <w:szCs w:val="22"/>
        </w:rPr>
      </w:pPr>
    </w:p>
    <w:p w:rsidR="0012766E" w:rsidRPr="008F4943" w:rsidRDefault="0012766E" w:rsidP="004F6D7F">
      <w:pPr>
        <w:jc w:val="both"/>
        <w:rPr>
          <w:b/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Po dolasku na provjeru znanja i sposobnosti, od kandidata će biti zatraženo predočavanje odgovarajuće identifikacijske isprave radi utvrđivanja identiteta. </w:t>
      </w:r>
      <w:r w:rsidR="000869C6" w:rsidRPr="008F4943">
        <w:rPr>
          <w:sz w:val="22"/>
          <w:szCs w:val="22"/>
        </w:rPr>
        <w:t xml:space="preserve">Kandidat </w:t>
      </w:r>
      <w:r w:rsidRPr="008F4943">
        <w:rPr>
          <w:sz w:val="22"/>
          <w:szCs w:val="22"/>
        </w:rPr>
        <w:t xml:space="preserve">koji ne </w:t>
      </w:r>
      <w:r w:rsidR="00243B95" w:rsidRPr="008F4943">
        <w:rPr>
          <w:sz w:val="22"/>
          <w:szCs w:val="22"/>
        </w:rPr>
        <w:t>može</w:t>
      </w:r>
      <w:r w:rsidRPr="008F4943">
        <w:rPr>
          <w:sz w:val="22"/>
          <w:szCs w:val="22"/>
        </w:rPr>
        <w:t xml:space="preserve"> dokazati identitet neće moći pristupiti testiranju. Za kandidata koji ne pristupi testiranju smatrat će se da je povukao prijavu na javni </w:t>
      </w:r>
      <w:r w:rsidR="00FB3786">
        <w:rPr>
          <w:sz w:val="22"/>
          <w:szCs w:val="22"/>
        </w:rPr>
        <w:t>natječaj</w:t>
      </w:r>
      <w:r w:rsidRPr="008F4943">
        <w:rPr>
          <w:sz w:val="22"/>
          <w:szCs w:val="22"/>
        </w:rPr>
        <w:t xml:space="preserve">. 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Po utvrđivanju identiteta, kandidatima će biti podijeljena pitanja za provjeru znanja.</w:t>
      </w:r>
    </w:p>
    <w:p w:rsidR="006F0BAD" w:rsidRPr="006F0BAD" w:rsidRDefault="006F0BAD" w:rsidP="006F0BAD">
      <w:pPr>
        <w:jc w:val="both"/>
        <w:rPr>
          <w:sz w:val="22"/>
          <w:szCs w:val="22"/>
        </w:rPr>
      </w:pPr>
      <w:r w:rsidRPr="006F0BAD">
        <w:rPr>
          <w:b/>
          <w:sz w:val="22"/>
          <w:szCs w:val="22"/>
        </w:rPr>
        <w:t>Navedena pismena provjera znanja traje 60 minuta (stručni dio), a nakon provjere znanja, održati će se provjera sposobnosti rada na računalu (pisani test) u daljnjem trajanju od 60 minuta.</w:t>
      </w:r>
    </w:p>
    <w:p w:rsidR="00910968" w:rsidRDefault="00910968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Kandida</w:t>
      </w:r>
      <w:r w:rsidR="000869C6" w:rsidRPr="008F4943">
        <w:rPr>
          <w:sz w:val="22"/>
          <w:szCs w:val="22"/>
        </w:rPr>
        <w:t xml:space="preserve">ti </w:t>
      </w:r>
      <w:r w:rsidRPr="008F4943">
        <w:rPr>
          <w:sz w:val="22"/>
          <w:szCs w:val="22"/>
        </w:rPr>
        <w:t>su se dužni pridržavati utvrđenog vremena i rasporeda postupka.</w:t>
      </w:r>
    </w:p>
    <w:p w:rsidR="004F6D7F" w:rsidRPr="008F4943" w:rsidRDefault="004F6D7F" w:rsidP="004F6D7F">
      <w:pPr>
        <w:jc w:val="both"/>
        <w:rPr>
          <w:b/>
          <w:sz w:val="22"/>
          <w:szCs w:val="22"/>
          <w:u w:val="single"/>
        </w:rPr>
      </w:pPr>
      <w:r w:rsidRPr="008F4943">
        <w:rPr>
          <w:sz w:val="22"/>
          <w:szCs w:val="22"/>
        </w:rPr>
        <w:t xml:space="preserve">Za vrijeme provjere znanja i sposobnosti </w:t>
      </w:r>
      <w:r w:rsidRPr="008F4943">
        <w:rPr>
          <w:b/>
          <w:sz w:val="22"/>
          <w:szCs w:val="22"/>
          <w:u w:val="single"/>
        </w:rPr>
        <w:t>nije dopušteno: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koristiti se bilo kakvom literaturom odnosno bilješkama;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koristiti mobitel ili druga komunikacijska sredstva;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napuštati prostoriju u kojoj se provjera odvija;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razgovarati s ostalim kandidatima, niti na bilo koji drugi način remetiti koncentraciju kandidata.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Kandidati koji će se ponašati neprimjereno ili će prekršiti jedno od gore navedenih pravila biti će udaljeni s testiranja, a njihov rezultat i rad Povjerenstvo neće bodovati.</w:t>
      </w:r>
    </w:p>
    <w:p w:rsidR="00DA195B" w:rsidRPr="008F4943" w:rsidRDefault="00DA195B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Za svaki dio provjere znanja i sposobnosti dodjeljuje se od 1 do 10 bodova.  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Intervju se provodi samo s kandidatima koji su ostvarili najmanje 50% bodova iz provjere znanja </w:t>
      </w:r>
      <w:r w:rsidR="00836ADE" w:rsidRPr="008F4943">
        <w:rPr>
          <w:sz w:val="22"/>
          <w:szCs w:val="22"/>
        </w:rPr>
        <w:t xml:space="preserve">i sposobnosti </w:t>
      </w:r>
      <w:r w:rsidRPr="008F4943">
        <w:rPr>
          <w:sz w:val="22"/>
          <w:szCs w:val="22"/>
        </w:rPr>
        <w:t xml:space="preserve">na </w:t>
      </w:r>
      <w:r w:rsidR="00836ADE" w:rsidRPr="008F4943">
        <w:rPr>
          <w:sz w:val="22"/>
          <w:szCs w:val="22"/>
        </w:rPr>
        <w:t xml:space="preserve">svakom od </w:t>
      </w:r>
      <w:r w:rsidRPr="008F4943">
        <w:rPr>
          <w:sz w:val="22"/>
          <w:szCs w:val="22"/>
        </w:rPr>
        <w:t>proveden</w:t>
      </w:r>
      <w:r w:rsidR="00836ADE" w:rsidRPr="008F4943">
        <w:rPr>
          <w:sz w:val="22"/>
          <w:szCs w:val="22"/>
        </w:rPr>
        <w:t>ih</w:t>
      </w:r>
      <w:r w:rsidR="006F0BAD">
        <w:rPr>
          <w:sz w:val="22"/>
          <w:szCs w:val="22"/>
        </w:rPr>
        <w:t xml:space="preserve"> testiranja</w:t>
      </w:r>
      <w:r w:rsidR="00836ADE" w:rsidRPr="008F4943">
        <w:rPr>
          <w:sz w:val="22"/>
          <w:szCs w:val="22"/>
        </w:rPr>
        <w:t>.</w:t>
      </w:r>
      <w:r w:rsidRPr="008F4943">
        <w:rPr>
          <w:sz w:val="22"/>
          <w:szCs w:val="22"/>
        </w:rPr>
        <w:t xml:space="preserve"> </w:t>
      </w:r>
    </w:p>
    <w:p w:rsidR="006F1401" w:rsidRDefault="006F1401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</w:p>
    <w:p w:rsidR="008B5313" w:rsidRPr="008F4943" w:rsidRDefault="008B5313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Kandidati koji su pristupili testiranju imaju pravo uvida u rezultate provedenog postupka. 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Povjerenstvo dostavlja Izvješće o provedenom postupku </w:t>
      </w:r>
      <w:r w:rsidR="0012766E" w:rsidRPr="008F4943">
        <w:rPr>
          <w:sz w:val="22"/>
          <w:szCs w:val="22"/>
        </w:rPr>
        <w:t>pročelniku</w:t>
      </w:r>
      <w:r w:rsidRPr="008F4943">
        <w:rPr>
          <w:sz w:val="22"/>
          <w:szCs w:val="22"/>
        </w:rPr>
        <w:t xml:space="preserve">, Izvješće potpisuju svi članovi Povjerenstva. </w:t>
      </w:r>
    </w:p>
    <w:p w:rsidR="00F35C71" w:rsidRPr="008F4943" w:rsidRDefault="00F35C71" w:rsidP="004F6D7F">
      <w:pPr>
        <w:jc w:val="both"/>
        <w:rPr>
          <w:sz w:val="22"/>
          <w:szCs w:val="22"/>
        </w:rPr>
      </w:pPr>
    </w:p>
    <w:p w:rsidR="004F6D7F" w:rsidRPr="008F4943" w:rsidRDefault="0012766E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Pročelnik</w:t>
      </w:r>
      <w:r w:rsidR="004F6D7F" w:rsidRPr="008F4943">
        <w:rPr>
          <w:sz w:val="22"/>
          <w:szCs w:val="22"/>
        </w:rPr>
        <w:t xml:space="preserve"> donosi rješenje o </w:t>
      </w:r>
      <w:r w:rsidRPr="008F4943">
        <w:rPr>
          <w:sz w:val="22"/>
          <w:szCs w:val="22"/>
        </w:rPr>
        <w:t>prijmu u službu</w:t>
      </w:r>
      <w:r w:rsidR="004F6D7F" w:rsidRPr="008F4943">
        <w:rPr>
          <w:sz w:val="22"/>
          <w:szCs w:val="22"/>
        </w:rPr>
        <w:t xml:space="preserve">, koje će biti dostavljeno svim kandidatima prijavljenim na javni </w:t>
      </w:r>
      <w:r w:rsidR="00FB3786">
        <w:rPr>
          <w:sz w:val="22"/>
          <w:szCs w:val="22"/>
        </w:rPr>
        <w:t>natječaj</w:t>
      </w:r>
      <w:r w:rsidR="004F6D7F" w:rsidRPr="008F4943">
        <w:rPr>
          <w:sz w:val="22"/>
          <w:szCs w:val="22"/>
        </w:rPr>
        <w:t xml:space="preserve">, a koji su ispunili formalne uvjete </w:t>
      </w:r>
      <w:r w:rsidR="00FB3786">
        <w:rPr>
          <w:sz w:val="22"/>
          <w:szCs w:val="22"/>
        </w:rPr>
        <w:t>natječaja</w:t>
      </w:r>
      <w:r w:rsidR="004F6D7F" w:rsidRPr="008F4943">
        <w:rPr>
          <w:sz w:val="22"/>
          <w:szCs w:val="22"/>
        </w:rPr>
        <w:t xml:space="preserve">. </w:t>
      </w:r>
    </w:p>
    <w:p w:rsidR="006A1D3A" w:rsidRDefault="006A1D3A" w:rsidP="00243B95">
      <w:pPr>
        <w:jc w:val="both"/>
        <w:rPr>
          <w:sz w:val="22"/>
          <w:szCs w:val="22"/>
        </w:rPr>
      </w:pPr>
    </w:p>
    <w:p w:rsidR="006A1D3A" w:rsidRPr="006A1D3A" w:rsidRDefault="006A1D3A" w:rsidP="006A1D3A">
      <w:pPr>
        <w:jc w:val="both"/>
        <w:rPr>
          <w:sz w:val="22"/>
          <w:szCs w:val="22"/>
        </w:rPr>
      </w:pPr>
      <w:r w:rsidRPr="006A1D3A">
        <w:rPr>
          <w:sz w:val="22"/>
          <w:szCs w:val="22"/>
        </w:rPr>
        <w:t>Kandidat koji nije zadovoljan donesenim rješenjem, ima pravo na žalbu  županu Koprivničko-križevačk</w:t>
      </w:r>
      <w:r>
        <w:rPr>
          <w:sz w:val="22"/>
          <w:szCs w:val="22"/>
        </w:rPr>
        <w:t>e</w:t>
      </w:r>
      <w:r w:rsidRPr="006A1D3A">
        <w:rPr>
          <w:sz w:val="22"/>
          <w:szCs w:val="22"/>
        </w:rPr>
        <w:t xml:space="preserve"> županije u roku od 15 dana od dana dostave Rješenja. Žalba se predaje u Koprivničko-križevačkoj županiji ili putem pošte, županu Koprivničko-križevačke županije.</w:t>
      </w:r>
    </w:p>
    <w:p w:rsidR="00F35C71" w:rsidRPr="008F4943" w:rsidRDefault="00F35C71" w:rsidP="00F35C71">
      <w:pPr>
        <w:jc w:val="both"/>
        <w:rPr>
          <w:sz w:val="22"/>
          <w:szCs w:val="22"/>
        </w:rPr>
      </w:pPr>
    </w:p>
    <w:p w:rsidR="00F35C71" w:rsidRPr="008F4943" w:rsidRDefault="00F35C71" w:rsidP="00F35C71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Izabrani kandidat mora dostaviti uvjerenje o zdravstvenoj sposobnosti</w:t>
      </w:r>
      <w:r w:rsidR="007557E6">
        <w:rPr>
          <w:sz w:val="22"/>
          <w:szCs w:val="22"/>
        </w:rPr>
        <w:t>.</w:t>
      </w:r>
      <w:r w:rsidRPr="008F4943">
        <w:rPr>
          <w:sz w:val="22"/>
          <w:szCs w:val="22"/>
        </w:rPr>
        <w:t xml:space="preserve"> </w:t>
      </w:r>
    </w:p>
    <w:p w:rsidR="008B7F01" w:rsidRDefault="008B7F01" w:rsidP="008B7F01">
      <w:pPr>
        <w:jc w:val="both"/>
        <w:rPr>
          <w:sz w:val="22"/>
          <w:szCs w:val="22"/>
          <w:lang w:val="it-IT"/>
        </w:rPr>
      </w:pPr>
    </w:p>
    <w:p w:rsidR="008B7F01" w:rsidRPr="008B7F01" w:rsidRDefault="008B7F01" w:rsidP="008B7F01">
      <w:pPr>
        <w:jc w:val="both"/>
        <w:rPr>
          <w:sz w:val="22"/>
          <w:szCs w:val="22"/>
          <w:lang w:val="it-IT"/>
        </w:rPr>
      </w:pPr>
      <w:r w:rsidRPr="008B7F01">
        <w:rPr>
          <w:sz w:val="22"/>
          <w:szCs w:val="22"/>
          <w:lang w:val="it-IT"/>
        </w:rPr>
        <w:t xml:space="preserve">S Vašim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6" w:history="1">
        <w:r w:rsidRPr="008B7F01">
          <w:rPr>
            <w:color w:val="0000FF" w:themeColor="hyperlink"/>
            <w:sz w:val="22"/>
            <w:szCs w:val="22"/>
            <w:u w:val="single"/>
            <w:lang w:val="it-IT"/>
          </w:rPr>
          <w:t>https://kckzz.hr/uprava/politika-zastite-privatnosti-osobnih-podataka/</w:t>
        </w:r>
      </w:hyperlink>
      <w:r w:rsidRPr="008B7F01">
        <w:rPr>
          <w:sz w:val="22"/>
          <w:szCs w:val="22"/>
          <w:lang w:val="it-IT"/>
        </w:rPr>
        <w:t xml:space="preserve"> uz primjenu odgovarajućih organizacijskih i tehničkih mjera zaštite osobnih podataka od neovlaštenog pristupa, zlouporabe, otkrivanja, gubitka ili uništenja.</w:t>
      </w:r>
    </w:p>
    <w:p w:rsidR="006402AB" w:rsidRDefault="006402AB" w:rsidP="004F6D7F">
      <w:pPr>
        <w:jc w:val="both"/>
        <w:rPr>
          <w:b/>
          <w:sz w:val="22"/>
          <w:szCs w:val="22"/>
          <w:lang w:val="it-IT"/>
        </w:rPr>
      </w:pPr>
    </w:p>
    <w:p w:rsidR="006526AB" w:rsidRDefault="006526AB" w:rsidP="004F6D7F">
      <w:pPr>
        <w:jc w:val="both"/>
        <w:rPr>
          <w:b/>
          <w:sz w:val="22"/>
          <w:szCs w:val="22"/>
          <w:lang w:val="it-IT"/>
        </w:rPr>
      </w:pPr>
    </w:p>
    <w:p w:rsidR="0016297F" w:rsidRDefault="0016297F" w:rsidP="004F6D7F">
      <w:pPr>
        <w:jc w:val="both"/>
        <w:rPr>
          <w:b/>
          <w:sz w:val="22"/>
          <w:szCs w:val="22"/>
          <w:lang w:val="it-IT"/>
        </w:rPr>
      </w:pPr>
    </w:p>
    <w:p w:rsidR="0016297F" w:rsidRDefault="0016297F" w:rsidP="004F6D7F">
      <w:pPr>
        <w:jc w:val="both"/>
        <w:rPr>
          <w:b/>
          <w:sz w:val="22"/>
          <w:szCs w:val="22"/>
          <w:lang w:val="it-IT"/>
        </w:rPr>
      </w:pPr>
    </w:p>
    <w:p w:rsidR="0016297F" w:rsidRDefault="0016297F" w:rsidP="004F6D7F">
      <w:pPr>
        <w:jc w:val="both"/>
        <w:rPr>
          <w:b/>
          <w:sz w:val="22"/>
          <w:szCs w:val="22"/>
          <w:lang w:val="it-IT"/>
        </w:rPr>
      </w:pPr>
    </w:p>
    <w:p w:rsidR="006526AB" w:rsidRDefault="006526AB" w:rsidP="004F6D7F">
      <w:pPr>
        <w:jc w:val="both"/>
        <w:rPr>
          <w:b/>
          <w:sz w:val="22"/>
          <w:szCs w:val="22"/>
          <w:lang w:val="it-IT"/>
        </w:rPr>
      </w:pPr>
    </w:p>
    <w:p w:rsidR="006526AB" w:rsidRDefault="006526AB" w:rsidP="006526AB">
      <w:pPr>
        <w:jc w:val="both"/>
        <w:rPr>
          <w:sz w:val="22"/>
          <w:szCs w:val="22"/>
          <w:lang w:val="it-IT"/>
        </w:rPr>
      </w:pPr>
    </w:p>
    <w:sectPr w:rsidR="006526AB" w:rsidSect="0043154F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6FFD"/>
    <w:multiLevelType w:val="hybridMultilevel"/>
    <w:tmpl w:val="5CD60626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DF0E1A"/>
    <w:multiLevelType w:val="hybridMultilevel"/>
    <w:tmpl w:val="3E34C080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2019A7"/>
    <w:multiLevelType w:val="multilevel"/>
    <w:tmpl w:val="9C887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44018"/>
    <w:multiLevelType w:val="hybridMultilevel"/>
    <w:tmpl w:val="AEB49F1E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578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35855EF"/>
    <w:multiLevelType w:val="hybridMultilevel"/>
    <w:tmpl w:val="F3C0A38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F0AE6"/>
    <w:multiLevelType w:val="hybridMultilevel"/>
    <w:tmpl w:val="00BC6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632DE"/>
    <w:multiLevelType w:val="hybridMultilevel"/>
    <w:tmpl w:val="4DA2D5F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42FB6"/>
    <w:multiLevelType w:val="hybridMultilevel"/>
    <w:tmpl w:val="4B8EDD66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C232E6"/>
    <w:multiLevelType w:val="hybridMultilevel"/>
    <w:tmpl w:val="D2626EC4"/>
    <w:lvl w:ilvl="0" w:tplc="87AEBB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6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12"/>
  </w:num>
  <w:num w:numId="14">
    <w:abstractNumId w:val="13"/>
  </w:num>
  <w:num w:numId="15">
    <w:abstractNumId w:val="3"/>
  </w:num>
  <w:num w:numId="16">
    <w:abstractNumId w:val="15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62F4F"/>
    <w:rsid w:val="00071A49"/>
    <w:rsid w:val="00073BE4"/>
    <w:rsid w:val="000869C6"/>
    <w:rsid w:val="000A1B55"/>
    <w:rsid w:val="000C22B6"/>
    <w:rsid w:val="000C72FB"/>
    <w:rsid w:val="000F3D2A"/>
    <w:rsid w:val="000F542E"/>
    <w:rsid w:val="0011264D"/>
    <w:rsid w:val="00122366"/>
    <w:rsid w:val="0012766E"/>
    <w:rsid w:val="00131D30"/>
    <w:rsid w:val="001344FB"/>
    <w:rsid w:val="00162667"/>
    <w:rsid w:val="0016297F"/>
    <w:rsid w:val="00164BB2"/>
    <w:rsid w:val="00185F65"/>
    <w:rsid w:val="00196DB1"/>
    <w:rsid w:val="001D03F8"/>
    <w:rsid w:val="001D5BA7"/>
    <w:rsid w:val="001D71AD"/>
    <w:rsid w:val="001E7BF2"/>
    <w:rsid w:val="00210008"/>
    <w:rsid w:val="00243B95"/>
    <w:rsid w:val="002712BA"/>
    <w:rsid w:val="002D010F"/>
    <w:rsid w:val="002E4960"/>
    <w:rsid w:val="002F53D5"/>
    <w:rsid w:val="003048B4"/>
    <w:rsid w:val="00310017"/>
    <w:rsid w:val="00332F7E"/>
    <w:rsid w:val="00374EBB"/>
    <w:rsid w:val="00385601"/>
    <w:rsid w:val="003A2D36"/>
    <w:rsid w:val="003A4C16"/>
    <w:rsid w:val="003A737C"/>
    <w:rsid w:val="003E44AC"/>
    <w:rsid w:val="003F5BE8"/>
    <w:rsid w:val="003F7B8E"/>
    <w:rsid w:val="00407E39"/>
    <w:rsid w:val="0043154F"/>
    <w:rsid w:val="004454F2"/>
    <w:rsid w:val="00452BDB"/>
    <w:rsid w:val="004626CC"/>
    <w:rsid w:val="0047633C"/>
    <w:rsid w:val="0048156B"/>
    <w:rsid w:val="0048365F"/>
    <w:rsid w:val="004944A2"/>
    <w:rsid w:val="004B120B"/>
    <w:rsid w:val="004D291F"/>
    <w:rsid w:val="004F6D7F"/>
    <w:rsid w:val="00501552"/>
    <w:rsid w:val="00505D8A"/>
    <w:rsid w:val="00526416"/>
    <w:rsid w:val="00532F0A"/>
    <w:rsid w:val="00535D12"/>
    <w:rsid w:val="00542E97"/>
    <w:rsid w:val="005601E7"/>
    <w:rsid w:val="005A79A9"/>
    <w:rsid w:val="005B0E26"/>
    <w:rsid w:val="005C5814"/>
    <w:rsid w:val="005F6FC1"/>
    <w:rsid w:val="00604CE6"/>
    <w:rsid w:val="006114C4"/>
    <w:rsid w:val="00616059"/>
    <w:rsid w:val="006402AB"/>
    <w:rsid w:val="006526AB"/>
    <w:rsid w:val="00656EC3"/>
    <w:rsid w:val="00660029"/>
    <w:rsid w:val="00663415"/>
    <w:rsid w:val="00666709"/>
    <w:rsid w:val="006718AB"/>
    <w:rsid w:val="006862ED"/>
    <w:rsid w:val="006A0B13"/>
    <w:rsid w:val="006A1D3A"/>
    <w:rsid w:val="006A3F11"/>
    <w:rsid w:val="006C399A"/>
    <w:rsid w:val="006D7B27"/>
    <w:rsid w:val="006E20BA"/>
    <w:rsid w:val="006E444C"/>
    <w:rsid w:val="006F0BAD"/>
    <w:rsid w:val="006F1401"/>
    <w:rsid w:val="006F38FF"/>
    <w:rsid w:val="00711ADF"/>
    <w:rsid w:val="007135E4"/>
    <w:rsid w:val="0072682B"/>
    <w:rsid w:val="00735374"/>
    <w:rsid w:val="007529C5"/>
    <w:rsid w:val="00753E4D"/>
    <w:rsid w:val="0075422F"/>
    <w:rsid w:val="007557E6"/>
    <w:rsid w:val="00780365"/>
    <w:rsid w:val="00784CB2"/>
    <w:rsid w:val="007955C7"/>
    <w:rsid w:val="007D1EDF"/>
    <w:rsid w:val="007D3A0C"/>
    <w:rsid w:val="007D5064"/>
    <w:rsid w:val="00836ADE"/>
    <w:rsid w:val="0085664A"/>
    <w:rsid w:val="008662BD"/>
    <w:rsid w:val="00872458"/>
    <w:rsid w:val="00877D2D"/>
    <w:rsid w:val="00886069"/>
    <w:rsid w:val="00892197"/>
    <w:rsid w:val="0089448A"/>
    <w:rsid w:val="008B05C7"/>
    <w:rsid w:val="008B5313"/>
    <w:rsid w:val="008B7F01"/>
    <w:rsid w:val="008D2615"/>
    <w:rsid w:val="008D32D2"/>
    <w:rsid w:val="008E4685"/>
    <w:rsid w:val="008F4943"/>
    <w:rsid w:val="00910968"/>
    <w:rsid w:val="009119E1"/>
    <w:rsid w:val="00922EFB"/>
    <w:rsid w:val="00924459"/>
    <w:rsid w:val="00927B75"/>
    <w:rsid w:val="00941890"/>
    <w:rsid w:val="00954513"/>
    <w:rsid w:val="009613E8"/>
    <w:rsid w:val="009650D5"/>
    <w:rsid w:val="0099150C"/>
    <w:rsid w:val="009B5321"/>
    <w:rsid w:val="00A039BF"/>
    <w:rsid w:val="00A13C40"/>
    <w:rsid w:val="00A248AA"/>
    <w:rsid w:val="00A35EA0"/>
    <w:rsid w:val="00A405F4"/>
    <w:rsid w:val="00A518F2"/>
    <w:rsid w:val="00A858F0"/>
    <w:rsid w:val="00A859B9"/>
    <w:rsid w:val="00AA2BE7"/>
    <w:rsid w:val="00AB27B2"/>
    <w:rsid w:val="00AE08F8"/>
    <w:rsid w:val="00AF2015"/>
    <w:rsid w:val="00AF228D"/>
    <w:rsid w:val="00B5141E"/>
    <w:rsid w:val="00B62021"/>
    <w:rsid w:val="00B73243"/>
    <w:rsid w:val="00BC61E0"/>
    <w:rsid w:val="00BD390A"/>
    <w:rsid w:val="00BD5762"/>
    <w:rsid w:val="00C01EA2"/>
    <w:rsid w:val="00C16281"/>
    <w:rsid w:val="00C36366"/>
    <w:rsid w:val="00C54113"/>
    <w:rsid w:val="00C67B04"/>
    <w:rsid w:val="00CA011D"/>
    <w:rsid w:val="00CA4351"/>
    <w:rsid w:val="00CB1D00"/>
    <w:rsid w:val="00CB35DD"/>
    <w:rsid w:val="00CB5B71"/>
    <w:rsid w:val="00CC4E74"/>
    <w:rsid w:val="00CD78A0"/>
    <w:rsid w:val="00CF79C3"/>
    <w:rsid w:val="00CF7B3D"/>
    <w:rsid w:val="00D02083"/>
    <w:rsid w:val="00D254FA"/>
    <w:rsid w:val="00D33010"/>
    <w:rsid w:val="00D8114A"/>
    <w:rsid w:val="00D86CDE"/>
    <w:rsid w:val="00DA195B"/>
    <w:rsid w:val="00DB0FC9"/>
    <w:rsid w:val="00DD6BAF"/>
    <w:rsid w:val="00E03DD7"/>
    <w:rsid w:val="00E31803"/>
    <w:rsid w:val="00E47630"/>
    <w:rsid w:val="00E81516"/>
    <w:rsid w:val="00E86F2D"/>
    <w:rsid w:val="00EA3646"/>
    <w:rsid w:val="00ED7E29"/>
    <w:rsid w:val="00EE2DED"/>
    <w:rsid w:val="00EF7AA1"/>
    <w:rsid w:val="00F10DB8"/>
    <w:rsid w:val="00F219F5"/>
    <w:rsid w:val="00F3545E"/>
    <w:rsid w:val="00F35C71"/>
    <w:rsid w:val="00F611E3"/>
    <w:rsid w:val="00F9030A"/>
    <w:rsid w:val="00FA407F"/>
    <w:rsid w:val="00FB3786"/>
    <w:rsid w:val="00FE038D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E9B"/>
  <w15:docId w15:val="{7A153607-8ACC-415F-BAE6-E50DA77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501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01552"/>
    <w:pPr>
      <w:ind w:right="34"/>
      <w:jc w:val="both"/>
    </w:pPr>
    <w:rPr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01552"/>
    <w:rPr>
      <w:rFonts w:ascii="Times New Roman" w:eastAsia="Times New Roman" w:hAnsi="Times New Roman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5015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753E4D"/>
    <w:pPr>
      <w:ind w:firstLine="708"/>
      <w:jc w:val="both"/>
    </w:pPr>
    <w:rPr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753E4D"/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E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E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kzz.hr/uprava/politika-zastite-privatnosti-osobnih-podata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775C-C585-4C5A-98E4-749BFC77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8</cp:revision>
  <cp:lastPrinted>2020-02-06T08:38:00Z</cp:lastPrinted>
  <dcterms:created xsi:type="dcterms:W3CDTF">2020-02-06T10:12:00Z</dcterms:created>
  <dcterms:modified xsi:type="dcterms:W3CDTF">2020-02-07T17:17:00Z</dcterms:modified>
</cp:coreProperties>
</file>